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附件2：报价单</w:t>
      </w:r>
    </w:p>
    <w:tbl>
      <w:tblPr>
        <w:tblStyle w:val="2"/>
        <w:tblW w:w="9804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395"/>
        <w:gridCol w:w="900"/>
        <w:gridCol w:w="1275"/>
        <w:gridCol w:w="1350"/>
        <w:gridCol w:w="675"/>
        <w:gridCol w:w="765"/>
        <w:gridCol w:w="915"/>
        <w:gridCol w:w="8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规格型号/货号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数量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比赛服套装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根据提供样品数量和款式报价，品牌款式不同报价可以不同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守门员服装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出场服套装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球队官员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出场服套装1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比赛官员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（比赛监督、裁判监督、  竞赛官员）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风衣套装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比赛官员     （裁判员）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出场服套装1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专业裁判服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主客场比赛  竞赛工作人员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风衣套装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主客场比赛  志愿者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风衣套装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分队背心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冠军服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领奖服套装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比赛服套装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出场服套装1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球队官员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出场服套装1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技术官员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竞赛工作人员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赛区服务人员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比赛服套装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出场服套装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城市T恤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教练员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运动服套装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技术官员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（裁判员）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运动袜（纯黑）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技术官员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（技术代表）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比赛监督，竞赛巡视，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裁判监督，赛区主任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竞赛人员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运动服套装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记录台人员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短袖POLO衫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运动长裤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工作人员T恤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冠军颁奖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冠军衫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冠军帽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80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备注：报价含税13%、含运费、含售后（质保期为交货验收后6个月）、含包装材料等包含价。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0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2E5Y2MyM2Y5OTdiODg0NWQyOTBkNDFlOTM3ZmUifQ=="/>
    <w:docVar w:name="KSO_WPS_MARK_KEY" w:val="ab3d3e55-d985-419b-9036-21b844130bd0"/>
  </w:docVars>
  <w:rsids>
    <w:rsidRoot w:val="42D717E0"/>
    <w:rsid w:val="42D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2024-09-20T08:55:00Z</dcterms:created>
  <dc:creator>饶又鸣</dc:creator>
  <cp:lastModifiedBy>饶又鸣</cp:lastModifiedBy>
  <dcterms:modified xsi:type="dcterms:W3CDTF">2024-09-20T08:55:19Z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0FE2E7CC75E24046A521C9AEA542B405_11</vt:lpwstr>
  </property>
</Properties>
</file>