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837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成都市郫都生态环境局</w:t>
      </w:r>
    </w:p>
    <w:p w14:paraId="4FF47F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2025年环境监测委托服务项目报价单</w:t>
      </w:r>
    </w:p>
    <w:p w14:paraId="67269F83"/>
    <w:p w14:paraId="51118DE8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任务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费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用</w:t>
      </w: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322"/>
        <w:gridCol w:w="1937"/>
        <w:gridCol w:w="3846"/>
      </w:tblGrid>
      <w:tr w14:paraId="56BD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 w14:paraId="4C97F31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vAlign w:val="center"/>
          </w:tcPr>
          <w:p w14:paraId="714A2785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1937" w:type="dxa"/>
            <w:tcBorders>
              <w:bottom w:val="single" w:color="auto" w:sz="4" w:space="0"/>
            </w:tcBorders>
            <w:vAlign w:val="center"/>
          </w:tcPr>
          <w:p w14:paraId="75367424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3846" w:type="dxa"/>
            <w:tcBorders>
              <w:bottom w:val="single" w:color="auto" w:sz="4" w:space="0"/>
            </w:tcBorders>
            <w:vAlign w:val="center"/>
          </w:tcPr>
          <w:p w14:paraId="5744F9B0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1F6F9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F3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2C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柴油车监督抽测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F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F7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23C4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E2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1910">
            <w:pPr>
              <w:jc w:val="center"/>
            </w:pPr>
            <w:r>
              <w:rPr>
                <w:rFonts w:hint="eastAsia" w:eastAsia="宋体"/>
                <w:lang w:eastAsia="zh-CN"/>
              </w:rPr>
              <w:t>非道路移动机械抽测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0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06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3EFC2252">
      <w:pPr>
        <w:rPr>
          <w:lang w:val="en-US" w:eastAsia="en-US"/>
        </w:rPr>
      </w:pPr>
    </w:p>
    <w:p w14:paraId="103C9DD8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2E42F0D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现场检测分析费用</w:t>
      </w:r>
      <w:bookmarkStart w:id="0" w:name="_GoBack"/>
      <w:bookmarkEnd w:id="0"/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905"/>
        <w:gridCol w:w="2345"/>
        <w:gridCol w:w="1655"/>
        <w:gridCol w:w="2124"/>
      </w:tblGrid>
      <w:tr w14:paraId="4B86A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820" w:type="dxa"/>
            <w:vAlign w:val="center"/>
          </w:tcPr>
          <w:p w14:paraId="3D9EB0B1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905" w:type="dxa"/>
            <w:vAlign w:val="center"/>
          </w:tcPr>
          <w:p w14:paraId="34AEE555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345" w:type="dxa"/>
            <w:vAlign w:val="center"/>
          </w:tcPr>
          <w:p w14:paraId="131801F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检测项目/参数</w:t>
            </w:r>
          </w:p>
        </w:tc>
        <w:tc>
          <w:tcPr>
            <w:tcW w:w="1655" w:type="dxa"/>
            <w:vAlign w:val="center"/>
          </w:tcPr>
          <w:p w14:paraId="5421A7BF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2124" w:type="dxa"/>
            <w:vAlign w:val="center"/>
          </w:tcPr>
          <w:p w14:paraId="5AD6A3BF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58FF1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820" w:type="dxa"/>
            <w:vAlign w:val="center"/>
          </w:tcPr>
          <w:p w14:paraId="7BCC86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vAlign w:val="center"/>
          </w:tcPr>
          <w:p w14:paraId="0F19E094">
            <w:pPr>
              <w:jc w:val="center"/>
              <w:rPr>
                <w:rFonts w:hint="default"/>
                <w:lang w:val="en-US"/>
              </w:rPr>
            </w:pPr>
            <w:r>
              <w:t>柴油车和非道路移动机械监督抽测</w:t>
            </w:r>
          </w:p>
        </w:tc>
        <w:tc>
          <w:tcPr>
            <w:tcW w:w="2345" w:type="dxa"/>
            <w:vAlign w:val="center"/>
          </w:tcPr>
          <w:p w14:paraId="757FB1D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光吸收系数或不透光度</w:t>
            </w:r>
          </w:p>
        </w:tc>
        <w:tc>
          <w:tcPr>
            <w:tcW w:w="1655" w:type="dxa"/>
            <w:vAlign w:val="center"/>
          </w:tcPr>
          <w:p w14:paraId="6F32195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1</w:t>
            </w:r>
            <w:r>
              <w:rPr>
                <w:rFonts w:hint="eastAsia" w:eastAsia="宋体"/>
                <w:lang w:eastAsia="zh-CN"/>
              </w:rPr>
              <w:t>台</w:t>
            </w:r>
            <w:r>
              <w:rPr>
                <w:rFonts w:hint="eastAsia" w:eastAsia="宋体"/>
                <w:lang w:val="en-US" w:eastAsia="zh-CN"/>
              </w:rPr>
              <w:t>·次</w:t>
            </w:r>
          </w:p>
        </w:tc>
        <w:tc>
          <w:tcPr>
            <w:tcW w:w="2124" w:type="dxa"/>
            <w:vAlign w:val="center"/>
          </w:tcPr>
          <w:p w14:paraId="79E02B0F">
            <w:pPr>
              <w:jc w:val="center"/>
            </w:pPr>
          </w:p>
        </w:tc>
      </w:tr>
    </w:tbl>
    <w:p w14:paraId="63F2E18C">
      <w:r>
        <w:br w:type="page"/>
      </w:r>
    </w:p>
    <w:p w14:paraId="72FD4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有关说明</w:t>
      </w:r>
    </w:p>
    <w:p w14:paraId="59E1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outlineLvl w:val="9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一、拟采购的</w:t>
      </w:r>
      <w:r>
        <w:rPr>
          <w:rFonts w:hint="eastAsia" w:ascii="宋体" w:hAnsi="宋体" w:eastAsia="方正仿宋_GBK" w:cs="方正仿宋_GBK"/>
          <w:sz w:val="32"/>
          <w:szCs w:val="32"/>
        </w:rPr>
        <w:t>生态环境监测服务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价格以任务费用和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现场检测分析费用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两部分为依据进行核算。任务费用</w:t>
      </w:r>
      <w:r>
        <w:rPr>
          <w:rFonts w:hint="eastAsia" w:ascii="宋体" w:hAnsi="宋体" w:eastAsia="方正仿宋_GBK" w:cs="方正仿宋_GBK"/>
          <w:sz w:val="32"/>
          <w:szCs w:val="32"/>
        </w:rPr>
        <w:t>包括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但不限于</w:t>
      </w:r>
      <w:r>
        <w:rPr>
          <w:rFonts w:hint="eastAsia" w:ascii="宋体" w:hAnsi="宋体" w:eastAsia="方正仿宋_GBK" w:cs="方正仿宋_GBK"/>
          <w:sz w:val="32"/>
          <w:szCs w:val="32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除现场检测分析以外所产生的采样人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工费、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车辆使用费、样品采集费、</w:t>
      </w:r>
      <w:r>
        <w:rPr>
          <w:rFonts w:hint="eastAsia" w:ascii="宋体" w:hAnsi="宋体" w:eastAsia="方正仿宋_GBK" w:cs="方正仿宋_GBK"/>
          <w:sz w:val="32"/>
          <w:szCs w:val="32"/>
        </w:rPr>
        <w:t>仪器设备折旧费、试剂药品费、水电费、标准物质费、易损耗品费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</w:rPr>
        <w:t>如玻璃仪器、采样介质等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）、报告编制费等完成监测工作所需的所有必要费用。样品检测分析费用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包括但不限于：现场检测分析中产生的试剂药品费、仪器设备损耗及折旧费、水电费、标准物质费、易损</w:t>
      </w:r>
      <w:r>
        <w:rPr>
          <w:rFonts w:hint="eastAsia" w:ascii="宋体" w:hAnsi="宋体" w:eastAsia="方正仿宋_GBK" w:cs="方正仿宋_GBK"/>
          <w:sz w:val="32"/>
          <w:szCs w:val="32"/>
        </w:rPr>
        <w:t>耗品费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</w:rPr>
        <w:t>如玻璃仪器、采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样介质等）、人工费等完成监测工作所需的所有必要费用。在检测过程中因质量控制、辅助判定及参与计算等原因而检测，但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不作为达标判定的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数据不纳入费用计算。</w:t>
      </w:r>
    </w:p>
    <w:p w14:paraId="0D510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二、柴油车监督抽测任务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内容及数量为：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每月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开展路检路查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柴油车不少于500辆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次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，全年不少于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6000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辆次，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夜查数量不低于任务数的50%。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全年开展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入户抽测不少于3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30台次，其中开展后处理装置查验不少于110台次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。</w:t>
      </w:r>
    </w:p>
    <w:p w14:paraId="18D4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outlineLvl w:val="9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、非道路移动机械抽测全年任务量为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不少于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480台次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t>，每月不少于40台次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。</w:t>
      </w:r>
    </w:p>
    <w:sectPr>
      <w:footerReference r:id="rId5" w:type="default"/>
      <w:pgSz w:w="11900" w:h="16840"/>
      <w:pgMar w:top="2098" w:right="1474" w:bottom="1984" w:left="1587" w:header="1020" w:footer="85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803572B-B1C8-4A1A-BBB6-02A2E4430F9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AF9257-5366-4D51-BA22-CC968D53741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92210A-3905-43FD-AFD8-2988DCC423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98702">
    <w:pPr>
      <w:spacing w:before="1" w:line="176" w:lineRule="auto"/>
      <w:ind w:left="2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AC97E7B"/>
    <w:rsid w:val="4C4D0ABF"/>
    <w:rsid w:val="73F06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542</Words>
  <Characters>559</Characters>
  <Paragraphs>41</Paragraphs>
  <TotalTime>2</TotalTime>
  <ScaleCrop>false</ScaleCrop>
  <LinksUpToDate>false</LinksUpToDate>
  <CharactersWithSpaces>559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2024-12-16T14:25:00Z</dcterms:created>
  <dc:creator>Kingsoft-PDF</dc:creator>
  <cp:lastModifiedBy>边城浪子</cp:lastModifiedBy>
  <dcterms:modified xsi:type="dcterms:W3CDTF">2025-01-16T08:40:26Z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2024-12-16T14:25:55Z</vt:filetime>
  </property>
  <property fmtid="{D5CDD505-2E9C-101B-9397-08002B2CF9AE}" pid="4" name="UsrData">
    <vt:lpwstr>675fc7ede9f72c001fbbb59ewl</vt:lpwstr>
  </property>
  <property fmtid="{D5CDD505-2E9C-101B-9397-08002B2CF9AE}" pid="5" name="KSOProductBuildVer">
    <vt:lpwstr>2052-12.1.0.19770</vt:lpwstr>
  </property>
  <property fmtid="{D5CDD505-2E9C-101B-9397-08002B2CF9AE}" pid="6" name="ICV">
    <vt:lpwstr>BD3D5C0E714947718142B8A6968415E1_13</vt:lpwstr>
  </property>
  <property fmtid="{D5CDD505-2E9C-101B-9397-08002B2CF9AE}" pid="7" name="KSOTemplateDocerSaveRecord">
    <vt:lpwstr>eyJoZGlkIjoiZjViN2JjMDQ2ZjU3Nzk0YzVlYTUwNzEyNWRmNjQ2NTEiLCJ1c2VySWQiOiIzMDM4NDExNjEifQ==</vt:lpwstr>
  </property>
</Properties>
</file>