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b/>
          <w:bCs/>
          <w:color w:val="FF0000"/>
          <w:spacing w:val="-23"/>
          <w:w w:val="66"/>
          <w:kern w:val="0"/>
          <w:sz w:val="132"/>
          <w:szCs w:val="1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pacing w:val="-23"/>
          <w:w w:val="66"/>
          <w:kern w:val="0"/>
          <w:sz w:val="132"/>
          <w:szCs w:val="136"/>
          <w:lang w:val="en-US" w:eastAsia="zh-CN"/>
        </w:rPr>
        <w:t>中采建培教育技术院文件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147955</wp:posOffset>
                </wp:positionV>
                <wp:extent cx="6169025" cy="15875"/>
                <wp:effectExtent l="0" t="9525" r="317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9025" cy="158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4pt;margin-top:11.65pt;height:1.25pt;width:485.75pt;z-index:251660288;mso-width-relative:page;mso-height-relative:page;" filled="f" stroked="t" coordsize="21600,21600" o:gfxdata="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cAwPLaAAAACQEAAA8AAAAAAAAAAQAgAAAAIgAAAGRycy9k&#10;b3ducmV2LnhtbFBLAQIUABQAAAAIAIdO4kCLjN/uAAIAAPMDAAAOAAAAAAAAAAEAIAAAACkBAABk&#10;cnMvZTJvRG9jLnhtbFBLBQYAAAAABgAGAFkBAACb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6000" w:firstLineChars="20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E59A4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中采建培【2023】</w:t>
      </w:r>
      <w:r>
        <w:rPr>
          <w:rFonts w:hint="eastAsia" w:hAnsi="仿宋" w:cs="仿宋"/>
          <w:b w:val="0"/>
          <w:bCs w:val="0"/>
          <w:kern w:val="2"/>
          <w:sz w:val="30"/>
          <w:szCs w:val="30"/>
          <w:lang w:val="en-US" w:eastAsia="zh-CN" w:bidi="ar-SA"/>
        </w:rPr>
        <w:t>01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号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关于举办“最新《国有企业服务采购操作规范》实务指南暨国有企业招标采购全流程实务及风险防控”高级专题研修班的通知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国有企业的采购管理是企业价值链管理的核心环节，是企业盈利能力提升和核心竞争力形成的有力抓手。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近年来，在国务院国资委的推动下，我国国有企业招标采购制度不断健全，内控体系日益完善，采购管控从分散型、粗放式向集约化、精益化加速转变，有力促进了企业规范运营和降本增效。合规高效是国企招标的本质要求，程序合规是其首要原则，还要满足供应链运营需要，实现效率效益目标，同时有力保障社会公共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为指导和规范国有企业服务标的物的采购操作，中国物流与采购联合会于2023年1月6日发布了《国有企业服务采购操作规范》团体标准，该标准将于2023年3月1日起正式施行。国有企业该如何做好采购的风险防控？如何对招标采购的全流程进行规范操作？为帮助各国有企业采购人员系统掌握服务采购的分类、采购工具的选择和采购评价及做好采购的合规管理工作，中采建培教育技术院特邀请</w:t>
      </w: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参与规范编写专家、一线实战专家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0"/>
          <w:szCs w:val="32"/>
          <w:lang w:val="en-US" w:eastAsia="zh-CN" w:bidi="ar-SA"/>
        </w:rPr>
        <w:t>通过实战案例系统讲解招标采购过程中的疑难问题，提高各单位工作人员的实务能力及法律风险防范。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特组织召开</w:t>
      </w: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“最新《国有企业服务采购操作规范》实务指南暨国有企业招标采购全流程实务及风险防控”高级专题研修班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0"/>
          <w:szCs w:val="32"/>
          <w:lang w:val="en-US" w:eastAsia="zh-CN" w:bidi="ar-SA"/>
        </w:rPr>
        <w:t>请各单位积极组织本单位及下属单位相关人员参加。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附件一：培训内容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8019415</wp:posOffset>
            </wp:positionV>
            <wp:extent cx="1816100" cy="1641475"/>
            <wp:effectExtent l="0" t="0" r="0" b="0"/>
            <wp:wrapNone/>
            <wp:docPr id="4" name="图片 4" descr="C:\Users\Administrator\Desktop\老岳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老岳章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附件二：报名表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default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（一）新形势下国有企业招标采购法律法规适用与合规管理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1.国企必须遵循的招标采购相关法律法规规范性文件适用；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1）国有企业采购管理模式；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2）国有企业项目与采购方式；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2.国企采购的内部控制体系构建；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3.国企采购合规管理；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4.国资委《关于2022年开展采购管理提升对标工作有关事项》要点解析。</w:t>
      </w:r>
    </w:p>
    <w:p>
      <w:pPr>
        <w:pStyle w:val="2"/>
        <w:ind w:left="0" w:leftChars="0" w:firstLine="600" w:firstLineChars="200"/>
        <w:rPr>
          <w:rFonts w:hint="default"/>
          <w:lang w:val="en-US" w:eastAsia="zh-CN"/>
        </w:rPr>
      </w:pPr>
      <w:r>
        <w:rPr>
          <w:rFonts w:hint="eastAsia" w:hAnsi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5.国企采购现阶段的法规与制度遵循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default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（二）《国有企业服务采购操作规范》团体标准解读、应用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1.服务的定义、特点及分类；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1）什么是服务？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2）服务有哪些特点、特性？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3）国有企业服务采购的分类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2.国有企业如何采购服务项目？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1)采购策划；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2)确定采购需求；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3)编制采购方案；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4)采购方案审批；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3.服务采购的组织和实施；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1)确定采购组织形式；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2)确定采购方式；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3)确定评审办法和评审因素；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4)确定合同计价方式；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5)采购文件的编制和审批；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6)实施服务采购；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4.服务采购合同的签订和履行；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5.异议投诉处理和采购监督；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1)异议的提出；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2)如何答复异议？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3)如何协助处理投诉和应对采购监督；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6.如何评价服务采购项目？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1)采购部门自评；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2）服务对象评价；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3）第三方机构评价。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1" w:firstLineChars="1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（三）招标采购全流程操作实务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1.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项目策划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采购需求的重要性及如何确定采购需求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如何与供应商开展技术交流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招标方案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/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采购实施计划的策划与编制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招标采购准备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项目的论证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如何编制规范的招标文件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（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供应商资格条件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采购需求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评分办法等设计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招投标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阶段；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招标计划的发布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2）招标文件的公示；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招标文件发售的法律风险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，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招标文件的澄清修改等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供应商提出异议如何合理答复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0" w:firstLineChars="1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（4）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开标与评标的要点与注意事项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1）开标的要点；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评标的主要内容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（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回避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评审步骤及复核事项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；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重大偏差与否决投标事项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，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是否还有“废标”这一说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？</w:t>
      </w: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串通投标及认定</w:t>
      </w:r>
      <w:r>
        <w:rPr>
          <w:rFonts w:hint="default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，</w:t>
      </w:r>
      <w:r>
        <w:rPr>
          <w:rFonts w:hint="eastAsia" w:ascii="仿宋" w:hAnsi="仿宋" w:eastAsia="仿宋" w:cs="仿宋"/>
          <w:b/>
          <w:bCs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国家新政策对串通投标的追诉标准变化解读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0" w:firstLineChars="1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（5）合同订立与履行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1）合同的实质性条款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2）合同的验收方式与要点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3）合同延期、调价、违约争端处理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4）合同签订、履行的注意事项与风险防范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0" w:firstLineChars="1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（6）档案保管与采购监督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纪检监察的注意事项与要点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，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招标人应如何应对监察部门</w:t>
      </w:r>
      <w:r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招标采购合规管理与监督审计应对策略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1）招标采购审计的依据与审计要点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2）审计流程及重点关注的热点重点问题解析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3）纪检监察部门在资审开评标、投诉处理等环节关注重点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4）招投标采购活动八类违法行为及监督依据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5）纪检监察、审计、财务等部门全过程跟踪监督要点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国有企业从事投资决策、招标采购、物资采购、供应链管理、基建、纪检监察、财务审计、法律等部门相关负责人；各地招投标监督管理部门、公共资源交易中心管理部门；招标代理人员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评审中心；业主单位从事合同管理、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项目管理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等相关部门人员；设计院、市场开发等相关部门负责人、中高等院校、医院及科研机构。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cs="宋体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拟邀专家</w:t>
      </w:r>
    </w:p>
    <w:p>
      <w:pPr>
        <w:widowControl/>
        <w:spacing w:line="40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zh-CN" w:eastAsia="zh-Hans" w:bidi="ar-SA"/>
        </w:rPr>
        <w:t>参与新规范编写的有关专家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和国内丰富经验的实战专家现场授课，结合经典实例分析，并进行现场答疑和互动交流。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cs="宋体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培训时间和地点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202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年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04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月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20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日-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25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日(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20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日全天报到)  地点: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 成都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2023年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05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月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18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日-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23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日(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18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 xml:space="preserve">日全天报到)  地点: 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南京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2023年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06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月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14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日-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19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日(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14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 xml:space="preserve">日全天报到)  地点: 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乌鲁木齐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市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cs="宋体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标准1：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3280元/人（含培训、资料、课件、场地、午餐、专家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费、电子结业证书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等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费用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），住宿会务组统一安排，费用自理。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标准2：5280元/人（含培训费、课件、场地、食宿（合住标准）、专家费、电子结业证书等费用），住宿统一安排。</w:t>
      </w:r>
    </w:p>
    <w:p>
      <w:pPr>
        <w:widowControl/>
        <w:spacing w:line="400" w:lineRule="exact"/>
        <w:jc w:val="left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cs="宋体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223520</wp:posOffset>
            </wp:positionV>
            <wp:extent cx="1637665" cy="1619885"/>
            <wp:effectExtent l="0" t="0" r="635" b="5715"/>
            <wp:wrapNone/>
            <wp:docPr id="6" name="图片 4" descr="c9891ea693d1fc4c52d84fac2e6c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c9891ea693d1fc4c52d84fac2e6cb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>报名联系人: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李妍 13439361367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  <w:t xml:space="preserve">  微信同步  QQ咨询：</w:t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498828030</w:t>
      </w:r>
    </w:p>
    <w:p>
      <w:pPr>
        <w:widowControl/>
        <w:spacing w:line="40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Han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pPr>
        <w:widowControl/>
        <w:spacing w:line="400" w:lineRule="exact"/>
        <w:ind w:firstLine="5700" w:firstLineChars="1900"/>
        <w:jc w:val="both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北京中采</w:t>
      </w:r>
      <w:r>
        <w:rPr>
          <w:rFonts w:hint="eastAsia" w:ascii="仿宋" w:hAnsi="仿宋" w:eastAsia="仿宋" w:cs="仿宋"/>
          <w:spacing w:val="0"/>
          <w:sz w:val="30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7929880</wp:posOffset>
            </wp:positionV>
            <wp:extent cx="1637665" cy="1619885"/>
            <wp:effectExtent l="0" t="0" r="635" b="5715"/>
            <wp:wrapNone/>
            <wp:docPr id="5" name="图片 3" descr="c9891ea693d1fc4c52d84fac2e6c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9891ea693d1fc4c52d84fac2e6cb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>建培教育技术院</w:t>
      </w:r>
    </w:p>
    <w:p>
      <w:pPr>
        <w:widowControl/>
        <w:spacing w:line="400" w:lineRule="exact"/>
        <w:ind w:firstLine="600" w:firstLineChars="200"/>
        <w:jc w:val="left"/>
        <w:rPr>
          <w:rFonts w:hint="default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 w:bidi="ar-SA"/>
        </w:rPr>
        <w:t xml:space="preserve">                                    2023年1月29日</w:t>
      </w: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附件二：</w:t>
      </w:r>
    </w:p>
    <w:p>
      <w:pPr>
        <w:widowControl/>
        <w:spacing w:line="40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“最新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《国有企业服务采购操作规范》实务指南暨国有企业招标采购全流程实务及风险防控”高级专题研修班报名回执表</w:t>
      </w:r>
    </w:p>
    <w:tbl>
      <w:tblPr>
        <w:tblStyle w:val="9"/>
        <w:tblpPr w:leftFromText="180" w:rightFromText="180" w:vertAnchor="text" w:horzAnchor="margin" w:tblpXSpec="center" w:tblpY="70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760"/>
        <w:gridCol w:w="2100"/>
        <w:gridCol w:w="1620"/>
        <w:gridCol w:w="127"/>
        <w:gridCol w:w="1260"/>
        <w:gridCol w:w="197"/>
        <w:gridCol w:w="220"/>
        <w:gridCol w:w="296"/>
        <w:gridCol w:w="68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（开票单位）</w:t>
            </w:r>
          </w:p>
        </w:tc>
        <w:tc>
          <w:tcPr>
            <w:tcW w:w="6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  编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电    话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是否住宿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□是     □否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住宿要求</w:t>
            </w:r>
          </w:p>
        </w:tc>
        <w:tc>
          <w:tcPr>
            <w:tcW w:w="4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□（单住需另补床位费)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参会地点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付款方式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□通过银行  □微信或支付宝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增值税专用发票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□增值税普票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收款账户</w:t>
            </w:r>
          </w:p>
        </w:tc>
        <w:tc>
          <w:tcPr>
            <w:tcW w:w="8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单位名称：北京中恒研训教育咨询中心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开户行：中国工商银行股份有限公司北京永定路支行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账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号：0200 0049 0920 0205 138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行号：1021 0000 0499</w:t>
            </w:r>
            <w:r>
              <w:rPr>
                <w:rFonts w:hint="eastAsia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exac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请将参会回执回传或E-mail至会务组，在报名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日内将培训费通过银行或邮局等方式付款，会务组确认到款后即发《参会凭证》，其中将详细注明报到时间、地点、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具体安排事项。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单位印章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二零二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zh-CN" w:eastAsia="zh-CN"/>
              </w:rPr>
              <w:t>年 月 日</w:t>
            </w:r>
          </w:p>
        </w:tc>
      </w:tr>
    </w:tbl>
    <w:p>
      <w:pPr>
        <w:widowControl/>
        <w:spacing w:line="400" w:lineRule="exact"/>
        <w:jc w:val="both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zh-CN" w:eastAsia="zh-CN"/>
        </w:rPr>
        <w:t>会务联系人: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李妍 13439361367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zh-CN" w:eastAsia="zh-CN"/>
        </w:rPr>
        <w:t xml:space="preserve">   邮箱：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498828030@qq.com</w:t>
      </w:r>
    </w:p>
    <w:sectPr>
      <w:footerReference r:id="rId3" w:type="default"/>
      <w:pgSz w:w="11906" w:h="16838"/>
      <w:pgMar w:top="1440" w:right="1486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4E9A6"/>
    <w:multiLevelType w:val="singleLevel"/>
    <w:tmpl w:val="2E94E9A6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mQ0NmQ4Y2I2MGI0NWJmNjQ1NjNiMTBjNzBlNmUifQ=="/>
  </w:docVars>
  <w:rsids>
    <w:rsidRoot w:val="24E47DC8"/>
    <w:rsid w:val="011253ED"/>
    <w:rsid w:val="054933A7"/>
    <w:rsid w:val="056951C1"/>
    <w:rsid w:val="05B00656"/>
    <w:rsid w:val="065F2DCC"/>
    <w:rsid w:val="073F2CB4"/>
    <w:rsid w:val="0CE7486D"/>
    <w:rsid w:val="0DE325EB"/>
    <w:rsid w:val="104906FF"/>
    <w:rsid w:val="105A5869"/>
    <w:rsid w:val="117F6ACF"/>
    <w:rsid w:val="15BD7BC5"/>
    <w:rsid w:val="19A13BB4"/>
    <w:rsid w:val="1A405AF9"/>
    <w:rsid w:val="1B486183"/>
    <w:rsid w:val="1BB67591"/>
    <w:rsid w:val="1BEC10B9"/>
    <w:rsid w:val="1CB06348"/>
    <w:rsid w:val="1F7F7C9A"/>
    <w:rsid w:val="22F42DCC"/>
    <w:rsid w:val="248F6BD1"/>
    <w:rsid w:val="24E47DC8"/>
    <w:rsid w:val="255F433F"/>
    <w:rsid w:val="25E76599"/>
    <w:rsid w:val="261956B5"/>
    <w:rsid w:val="26C64400"/>
    <w:rsid w:val="280940BF"/>
    <w:rsid w:val="28642123"/>
    <w:rsid w:val="2DDF4725"/>
    <w:rsid w:val="2FFF10AF"/>
    <w:rsid w:val="30531B27"/>
    <w:rsid w:val="339E6894"/>
    <w:rsid w:val="34CA155F"/>
    <w:rsid w:val="35D036BB"/>
    <w:rsid w:val="371E4021"/>
    <w:rsid w:val="38CE5AC2"/>
    <w:rsid w:val="39EB6D7F"/>
    <w:rsid w:val="3AE3337B"/>
    <w:rsid w:val="464A2500"/>
    <w:rsid w:val="490270C2"/>
    <w:rsid w:val="4ABF170F"/>
    <w:rsid w:val="4EA74993"/>
    <w:rsid w:val="518533AE"/>
    <w:rsid w:val="530323B4"/>
    <w:rsid w:val="53EE30C2"/>
    <w:rsid w:val="55CE19F3"/>
    <w:rsid w:val="5612303A"/>
    <w:rsid w:val="59301A29"/>
    <w:rsid w:val="59462FFB"/>
    <w:rsid w:val="5BEC7E8A"/>
    <w:rsid w:val="604E1113"/>
    <w:rsid w:val="61A47A93"/>
    <w:rsid w:val="63582C03"/>
    <w:rsid w:val="6894168D"/>
    <w:rsid w:val="6B6E0360"/>
    <w:rsid w:val="6C084428"/>
    <w:rsid w:val="6C630426"/>
    <w:rsid w:val="6E934195"/>
    <w:rsid w:val="6F3911E0"/>
    <w:rsid w:val="71A60683"/>
    <w:rsid w:val="75C13CDD"/>
    <w:rsid w:val="75C80BC8"/>
    <w:rsid w:val="76D74E43"/>
    <w:rsid w:val="77756B2D"/>
    <w:rsid w:val="78C655F6"/>
    <w:rsid w:val="7AAD21FD"/>
    <w:rsid w:val="7E7446AF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spacing w:after="0" w:line="360" w:lineRule="auto"/>
      <w:ind w:left="176" w:leftChars="0" w:firstLine="420" w:firstLineChars="200"/>
    </w:pPr>
    <w:rPr>
      <w:rFonts w:ascii="仿宋" w:eastAsia="仿宋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2344</Words>
  <Characters>2513</Characters>
  <Lines>0</Lines>
  <Paragraphs>0</Paragraphs>
  <TotalTime>6</TotalTime>
  <ScaleCrop>false</ScaleCrop>
  <LinksUpToDate>false</LinksUpToDate>
  <CharactersWithSpaces>2621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2023-01-15T06:48:00Z</dcterms:created>
  <dc:creator>王胜辉</dc:creator>
  <cp:lastModifiedBy>阿双</cp:lastModifiedBy>
  <dcterms:modified xsi:type="dcterms:W3CDTF">2023-03-21T06:48:46Z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A33549B23E254C429CEC94E06F737C76</vt:lpwstr>
  </property>
</Properties>
</file>