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50" w:afterLines="350" w:line="800" w:lineRule="exact"/>
        <w:ind w:firstLine="610" w:firstLineChars="100"/>
        <w:jc w:val="center"/>
        <w:rPr>
          <w:rFonts w:ascii="仿宋" w:hAnsi="仿宋" w:eastAsia="仿宋" w:cs="仿宋"/>
          <w:b/>
          <w:spacing w:val="24"/>
          <w:sz w:val="56"/>
          <w:szCs w:val="56"/>
        </w:rPr>
      </w:pPr>
      <w:r>
        <w:rPr>
          <w:rFonts w:hint="eastAsia" w:ascii="仿宋" w:hAnsi="仿宋" w:eastAsia="仿宋" w:cs="仿宋"/>
          <w:b/>
          <w:spacing w:val="24"/>
          <w:sz w:val="56"/>
          <w:szCs w:val="56"/>
        </w:rPr>
        <w:t>四川省人民医院不锈钢分离台采购项目</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pPr>
        <w:spacing w:line="440" w:lineRule="exact"/>
        <w:jc w:val="center"/>
        <w:rPr>
          <w:rFonts w:ascii="仿宋" w:hAnsi="仿宋" w:eastAsia="仿宋" w:cs="仿宋"/>
          <w:b/>
          <w:sz w:val="36"/>
          <w:szCs w:val="36"/>
        </w:rPr>
      </w:pPr>
      <w:r>
        <w:rPr>
          <w:rFonts w:hint="eastAsia" w:ascii="仿宋" w:hAnsi="仿宋" w:eastAsia="仿宋" w:cs="仿宋"/>
          <w:b/>
          <w:sz w:val="36"/>
          <w:szCs w:val="36"/>
        </w:rPr>
        <w:t>四川省人民医院 招标采购中心</w:t>
      </w:r>
    </w:p>
    <w:p>
      <w:pPr>
        <w:spacing w:line="440" w:lineRule="exact"/>
        <w:jc w:val="center"/>
        <w:rPr>
          <w:rFonts w:ascii="仿宋" w:hAnsi="仿宋" w:eastAsia="仿宋" w:cs="仿宋"/>
          <w:b/>
          <w:sz w:val="36"/>
          <w:szCs w:val="36"/>
        </w:rPr>
      </w:pPr>
    </w:p>
    <w:p>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2022</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10</w:t>
      </w:r>
      <w:r>
        <w:rPr>
          <w:rFonts w:hint="eastAsia" w:ascii="仿宋" w:hAnsi="仿宋" w:eastAsia="仿宋" w:cs="仿宋"/>
          <w:b/>
          <w:sz w:val="36"/>
          <w:szCs w:val="36"/>
          <w:lang w:val="zh-CN"/>
        </w:rPr>
        <w:t>月</w:t>
      </w:r>
    </w:p>
    <w:p>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4"/>
        <w:tabs>
          <w:tab w:val="right" w:leader="dot" w:pos="8306"/>
        </w:tabs>
        <w:rPr>
          <w:rFonts w:ascii="仿宋" w:hAnsi="仿宋" w:eastAsia="仿宋" w:cs="仿宋"/>
          <w:sz w:val="28"/>
          <w:szCs w:val="32"/>
        </w:rPr>
      </w:pPr>
    </w:p>
    <w:p>
      <w:pPr>
        <w:pStyle w:val="14"/>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471310326"/>
      <w:bookmarkStart w:id="1" w:name="_Toc62832406"/>
      <w:bookmarkStart w:id="2" w:name="_Toc20358"/>
      <w:bookmarkStart w:id="3" w:name="_Toc1907"/>
      <w:bookmarkStart w:id="4" w:name="_Toc3240"/>
      <w:bookmarkStart w:id="5" w:name="_Toc24065"/>
      <w:r>
        <w:rPr>
          <w:rFonts w:hint="eastAsia" w:ascii="黑体" w:hAnsi="黑体" w:eastAsia="黑体" w:cs="黑体"/>
          <w:b/>
          <w:sz w:val="36"/>
          <w:szCs w:val="32"/>
        </w:rPr>
        <w:t>比选邀请</w:t>
      </w:r>
      <w:bookmarkEnd w:id="0"/>
      <w:bookmarkEnd w:id="1"/>
      <w:bookmarkEnd w:id="2"/>
      <w:bookmarkEnd w:id="3"/>
      <w:bookmarkEnd w:id="4"/>
      <w:bookmarkEnd w:id="5"/>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733"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674"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四川省人民医院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四川省人民医院不锈钢分离台项目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pPr>
              <w:spacing w:line="360" w:lineRule="auto"/>
              <w:ind w:left="210" w:leftChars="100"/>
              <w:rPr>
                <w:rFonts w:ascii="仿宋" w:hAnsi="仿宋" w:eastAsia="仿宋" w:cs="仿宋"/>
                <w:color w:val="000000" w:themeColor="text1"/>
                <w:sz w:val="22"/>
              </w:rPr>
            </w:pPr>
            <w:r>
              <w:rPr>
                <w:rFonts w:ascii="仿宋" w:hAnsi="仿宋" w:eastAsia="仿宋" w:cs="仿宋"/>
                <w:color w:val="000000" w:themeColor="text1"/>
                <w:sz w:val="22"/>
              </w:rPr>
              <w:t>CGZX-HQB20224052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 xml:space="preserve">最高限价：3600.00元。 </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超过单价最高限价的报价，其比选申请文件作无效处理。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邀请比选：通过书面推荐意见，推荐符合相应资格条件的供应商参与本次采购活动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接受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9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sym w:font="Wingdings" w:char="00FE"/>
            </w:r>
            <w:r>
              <w:rPr>
                <w:rFonts w:ascii="仿宋" w:hAnsi="仿宋" w:eastAsia="仿宋" w:cs="仿宋"/>
                <w:color w:val="000000" w:themeColor="text1"/>
                <w:sz w:val="22"/>
              </w:rPr>
              <w:t xml:space="preserve">举行       </w:t>
            </w:r>
            <w:r>
              <w:rPr>
                <w:rFonts w:hint="eastAsia" w:ascii="仿宋" w:hAnsi="仿宋" w:eastAsia="仿宋" w:cs="仿宋"/>
                <w:color w:val="000000" w:themeColor="text1"/>
                <w:sz w:val="22"/>
              </w:rPr>
              <w:sym w:font="Wingdings" w:char="00A8"/>
            </w:r>
            <w:r>
              <w:rPr>
                <w:rFonts w:ascii="仿宋" w:hAnsi="仿宋" w:eastAsia="仿宋" w:cs="仿宋"/>
                <w:color w:val="000000" w:themeColor="text1"/>
                <w:sz w:val="22"/>
              </w:rPr>
              <w:t xml:space="preserve">不举行 </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本部踏勘地址为：四川省人民医院浣花北路18号附一号313办公室</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联系人：313办公室</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联系电话：028-87394772</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踏勘时间：2022年</w:t>
            </w:r>
            <w:r>
              <w:rPr>
                <w:rFonts w:hint="eastAsia" w:ascii="仿宋" w:hAnsi="仿宋" w:eastAsia="仿宋" w:cs="仿宋"/>
                <w:color w:val="000000" w:themeColor="text1"/>
                <w:sz w:val="22"/>
                <w:lang w:val="en-US" w:eastAsia="zh-CN"/>
              </w:rPr>
              <w:t>10</w:t>
            </w:r>
            <w:r>
              <w:rPr>
                <w:rFonts w:hint="eastAsia" w:ascii="仿宋" w:hAnsi="仿宋" w:eastAsia="仿宋" w:cs="仿宋"/>
                <w:color w:val="000000" w:themeColor="text1"/>
                <w:sz w:val="22"/>
              </w:rPr>
              <w:t>月</w:t>
            </w:r>
            <w:r>
              <w:rPr>
                <w:rFonts w:hint="eastAsia" w:ascii="仿宋" w:hAnsi="仿宋" w:eastAsia="仿宋" w:cs="仿宋"/>
                <w:color w:val="000000" w:themeColor="text1"/>
                <w:sz w:val="22"/>
                <w:lang w:val="en-US" w:eastAsia="zh-CN"/>
              </w:rPr>
              <w:t>12</w:t>
            </w:r>
            <w:bookmarkStart w:id="100" w:name="_GoBack"/>
            <w:bookmarkEnd w:id="100"/>
            <w:r>
              <w:rPr>
                <w:rFonts w:hint="eastAsia" w:ascii="仿宋" w:hAnsi="仿宋" w:eastAsia="仿宋" w:cs="仿宋"/>
                <w:color w:val="000000" w:themeColor="text1"/>
                <w:sz w:val="22"/>
              </w:rPr>
              <w:t>日9:00-9:30</w:t>
            </w:r>
          </w:p>
          <w:p>
            <w:pPr>
              <w:spacing w:line="360" w:lineRule="auto"/>
              <w:ind w:left="210" w:leftChars="100"/>
            </w:pPr>
            <w:r>
              <w:rPr>
                <w:rFonts w:hint="eastAsia" w:ascii="仿宋" w:hAnsi="仿宋" w:eastAsia="仿宋" w:cs="仿宋"/>
                <w:color w:val="000000" w:themeColor="text1"/>
                <w:sz w:val="22"/>
              </w:rPr>
              <w:t>供应商自行前往踏勘地点，所产生的费用由供应商自行承担；未参加现场踏勘或答疑会的参选单位不得递交参选文件，报名单位请携带介绍信或授权书、参与人身份证复印件及最新疫情防控政策要求进行登记。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组织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pPr>
              <w:pStyle w:val="26"/>
              <w:spacing w:line="360" w:lineRule="auto"/>
              <w:ind w:left="210" w:leftChars="100"/>
              <w:jc w:val="both"/>
              <w:rPr>
                <w:rFonts w:ascii="仿宋" w:hAnsi="仿宋" w:eastAsia="仿宋" w:cs="仿宋"/>
                <w:color w:val="000000" w:themeColor="text1"/>
                <w:sz w:val="22"/>
                <w:szCs w:val="22"/>
              </w:rPr>
            </w:pPr>
            <w:r>
              <w:rPr>
                <w:rFonts w:hint="eastAsia" w:ascii="华文仿宋" w:hAnsi="华文仿宋" w:eastAsia="华文仿宋" w:cs="华文仿宋"/>
                <w:color w:val="000000" w:themeColor="text1"/>
              </w:rPr>
              <w:sym w:font="Wingdings" w:char="00A8"/>
            </w:r>
            <w:r>
              <w:rPr>
                <w:rFonts w:hint="eastAsia" w:ascii="仿宋" w:hAnsi="仿宋" w:eastAsia="仿宋" w:cs="仿宋"/>
                <w:color w:val="000000" w:themeColor="text1"/>
                <w:sz w:val="22"/>
                <w:szCs w:val="22"/>
              </w:rPr>
              <w:t xml:space="preserve">收取       </w:t>
            </w:r>
            <w:r>
              <w:rPr>
                <w:rFonts w:hint="eastAsia" w:ascii="华文仿宋" w:hAnsi="华文仿宋" w:eastAsia="华文仿宋" w:cs="华文仿宋"/>
                <w:color w:val="000000" w:themeColor="text1"/>
              </w:rPr>
              <w:sym w:font="Wingdings" w:char="00FE"/>
            </w:r>
            <w:r>
              <w:rPr>
                <w:rFonts w:hint="eastAsia" w:ascii="仿宋" w:hAnsi="仿宋" w:eastAsia="仿宋" w:cs="仿宋"/>
                <w:color w:val="000000" w:themeColor="text1"/>
                <w:sz w:val="22"/>
                <w:szCs w:val="22"/>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3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b/>
                <w:bCs/>
                <w:color w:val="000000" w:themeColor="text1"/>
                <w:sz w:val="22"/>
              </w:rPr>
              <w:t>综合评分法</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即供应商通过资格审查，且满足比选文件全部实质性要求，且按照评审因素的量化指标评审得分，</w:t>
            </w:r>
            <w:r>
              <w:rPr>
                <w:rFonts w:hint="eastAsia" w:ascii="仿宋" w:hAnsi="仿宋" w:eastAsia="仿宋" w:cs="仿宋"/>
                <w:b/>
                <w:bCs/>
                <w:color w:val="000000" w:themeColor="text1"/>
                <w:sz w:val="22"/>
              </w:rPr>
              <w:t>综合得分最高</w:t>
            </w:r>
            <w:r>
              <w:rPr>
                <w:rFonts w:hint="eastAsia" w:ascii="仿宋" w:hAnsi="仿宋" w:eastAsia="仿宋" w:cs="仿宋"/>
                <w:color w:val="000000" w:themeColor="text1"/>
                <w:sz w:val="22"/>
              </w:rPr>
              <w:t>的供应商为本项目的第一中选人，若得分相同则价格低的为中选人，若价格也相同则采取抽签的方式确定；</w:t>
            </w:r>
          </w:p>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b/>
                <w:bCs/>
                <w:color w:val="000000" w:themeColor="text1"/>
                <w:sz w:val="22"/>
              </w:rPr>
              <w:t>最低价评审法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rPr>
              <w:t>有效报价最低</w:t>
            </w:r>
            <w:r>
              <w:rPr>
                <w:rFonts w:hint="eastAsia" w:ascii="仿宋" w:hAnsi="仿宋" w:eastAsia="仿宋" w:cs="仿宋"/>
                <w:color w:val="000000" w:themeColor="text1"/>
                <w:sz w:val="22"/>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pPr>
              <w:pStyle w:val="26"/>
              <w:spacing w:line="360" w:lineRule="auto"/>
              <w:ind w:left="438" w:leftChars="104" w:hanging="220" w:hanging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供应商应通过：</w:t>
            </w:r>
          </w:p>
          <w:p>
            <w:pPr>
              <w:pStyle w:val="26"/>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线上提交：</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供应商应通过四川省人民医院电子招标采购平台（网址http://cg.samsph.com）提交比选申请文件；</w:t>
            </w:r>
          </w:p>
          <w:p>
            <w:pPr>
              <w:pStyle w:val="26"/>
              <w:spacing w:line="360" w:lineRule="auto"/>
              <w:ind w:left="210" w:leftChars="100"/>
              <w:jc w:val="both"/>
              <w:rPr>
                <w:rFonts w:ascii="仿宋" w:hAnsi="仿宋" w:eastAsia="仿宋" w:cs="仿宋"/>
                <w:color w:val="000000" w:themeColor="text1"/>
                <w:sz w:val="22"/>
                <w:szCs w:val="22"/>
              </w:rPr>
            </w:pPr>
            <w:r>
              <w:rPr>
                <w:rFonts w:hint="eastAsia" w:ascii="华文仿宋" w:hAnsi="华文仿宋" w:eastAsia="华文仿宋" w:cs="华文仿宋"/>
                <w:color w:val="000000" w:themeColor="text1"/>
              </w:rPr>
              <w:sym w:font="Wingdings" w:char="00A8"/>
            </w:r>
            <w:r>
              <w:rPr>
                <w:rFonts w:hint="eastAsia" w:ascii="仿宋" w:hAnsi="仿宋" w:eastAsia="仿宋" w:cs="仿宋"/>
                <w:color w:val="000000" w:themeColor="text1"/>
                <w:sz w:val="22"/>
                <w:szCs w:val="22"/>
              </w:rPr>
              <w:t>现场提交：</w:t>
            </w:r>
          </w:p>
          <w:p>
            <w:pPr>
              <w:pStyle w:val="26"/>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比选申请文件应在提交比选申请文件截止时间前送达比选地点；</w:t>
            </w:r>
          </w:p>
          <w:p>
            <w:pPr>
              <w:pStyle w:val="26"/>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文件份数：正本1份、副本2份</w:t>
            </w:r>
          </w:p>
          <w:p>
            <w:pPr>
              <w:pStyle w:val="26"/>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比选地点：XXXXXXXXX</w:t>
            </w:r>
          </w:p>
          <w:p>
            <w:pPr>
              <w:pStyle w:val="26"/>
              <w:spacing w:line="360" w:lineRule="auto"/>
              <w:ind w:left="218" w:leftChars="104"/>
              <w:jc w:val="both"/>
              <w:rPr>
                <w:rFonts w:ascii="仿宋" w:hAnsi="仿宋" w:eastAsia="仿宋" w:cs="仿宋"/>
                <w:b/>
                <w:bCs/>
                <w:color w:val="000000" w:themeColor="text1"/>
                <w:kern w:val="2"/>
                <w:sz w:val="20"/>
                <w:szCs w:val="20"/>
              </w:rPr>
            </w:pPr>
            <w:r>
              <w:rPr>
                <w:rFonts w:hint="eastAsia" w:ascii="仿宋" w:hAnsi="仿宋" w:eastAsia="仿宋" w:cs="仿宋"/>
                <w:b/>
                <w:bCs/>
                <w:color w:val="000000" w:themeColor="text1"/>
                <w:kern w:val="2"/>
                <w:sz w:val="20"/>
                <w:szCs w:val="20"/>
              </w:rPr>
              <w:t>注：比选响应文件应在提交比选响应文件截止时间前提交；</w:t>
            </w:r>
          </w:p>
          <w:p>
            <w:pPr>
              <w:pStyle w:val="26"/>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b/>
                <w:bCs/>
                <w:color w:val="000000" w:themeColor="text1"/>
                <w:kern w:val="2"/>
                <w:sz w:val="20"/>
                <w:szCs w:val="20"/>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（1）采购部门：招标采购中心</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联系方式：郑老师028-87393463</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（2）归口部门：后勤保障部</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联系方式：温老师028-87393442</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（3）监督部门：审计部</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联系方式：028-87394709</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b/>
                <w:bCs/>
                <w:color w:val="000000" w:themeColor="text1"/>
                <w:sz w:val="22"/>
              </w:rPr>
              <w:t>（4）采购平台</w:t>
            </w:r>
            <w:r>
              <w:rPr>
                <w:rFonts w:hint="eastAsia" w:ascii="仿宋" w:hAnsi="仿宋" w:eastAsia="仿宋" w:cs="仿宋"/>
                <w:color w:val="000000" w:themeColor="text1"/>
                <w:sz w:val="22"/>
              </w:rPr>
              <w:t>：隆道云400 0118 000，接通以后按1</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6" w:name="_Toc14460"/>
      <w:bookmarkStart w:id="7" w:name="_Toc27785"/>
      <w:bookmarkStart w:id="8" w:name="_Toc24154"/>
      <w:r>
        <w:rPr>
          <w:rFonts w:hint="eastAsia" w:ascii="黑体" w:hAnsi="黑体" w:eastAsia="黑体" w:cs="黑体"/>
          <w:b/>
          <w:sz w:val="36"/>
          <w:szCs w:val="32"/>
        </w:rPr>
        <w:t>比选须知</w:t>
      </w:r>
      <w:bookmarkEnd w:id="6"/>
      <w:bookmarkEnd w:id="7"/>
      <w:bookmarkEnd w:id="8"/>
    </w:p>
    <w:tbl>
      <w:tblPr>
        <w:tblStyle w:val="18"/>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706"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（1）本比选统一使用人民币报价；</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（1）比选申请文件的格式</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rPr>
              <w:t>比选申请文件内容的完整性和有效性</w:t>
            </w:r>
            <w:r>
              <w:rPr>
                <w:rFonts w:hint="eastAsia" w:ascii="仿宋" w:hAnsi="仿宋" w:eastAsia="仿宋" w:cs="仿宋"/>
                <w:color w:val="000000" w:themeColor="text1"/>
                <w:sz w:val="22"/>
              </w:rPr>
              <w:t>；比选申请人应在“比选申请文件格式”前附文件索引表、目录；</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（2）比选申请文件的语言</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（3）比选申请文件的签署、盖章</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（1）采购人将根据实际情况，在评审现场确定是否与供应商进行谈判和磋商；</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（2）若合格供应商不足两家（不含），将直接与合格的供应商进行谈判和磋商；</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（1）供应商参选货物均为经检验合格的生产厂家原装全新合格产品，供应商承诺的质量、技术和其他要求，符合国家相关的质量标准和出厂标准并提供产品合格证；</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（2）若出现质量问题，供应商负责按照采购人要求办理退货并承担因货物质量导致的经济和法律责任；</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（3）国家或行业主管部门对供应商和采购产品的技术标准、质量标准和资格资质条件等有强制性规定的，应当符合其要求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符合本</w:t>
            </w:r>
            <w:r>
              <w:rPr>
                <w:rFonts w:hint="eastAsia" w:ascii="仿宋" w:hAnsi="仿宋" w:eastAsia="仿宋" w:cs="仿宋"/>
                <w:color w:val="000000" w:themeColor="text1"/>
                <w:sz w:val="22"/>
              </w:rPr>
              <w:t>比选</w:t>
            </w:r>
            <w:r>
              <w:rPr>
                <w:rFonts w:hint="eastAsia" w:ascii="仿宋" w:hAnsi="仿宋" w:eastAsia="仿宋" w:cs="仿宋"/>
                <w:color w:val="000000" w:themeColor="text1"/>
                <w:sz w:val="22"/>
                <w:lang w:val="zh-TW" w:eastAsia="zh-TW"/>
              </w:rPr>
              <w:t>文件及采购人承诺的质量、技术和其他要求，符合国家相关的质量标准和出厂标准</w:t>
            </w:r>
            <w:r>
              <w:rPr>
                <w:rFonts w:hint="eastAsia" w:ascii="仿宋" w:hAnsi="仿宋" w:eastAsia="仿宋" w:cs="仿宋"/>
                <w:color w:val="000000" w:themeColor="text1"/>
                <w:sz w:val="22"/>
                <w:lang w:val="zh-TW"/>
              </w:rPr>
              <w:t>；</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国家或行业主管部门对</w:t>
            </w:r>
            <w:r>
              <w:rPr>
                <w:rFonts w:hint="eastAsia" w:ascii="仿宋" w:hAnsi="仿宋" w:eastAsia="仿宋" w:cs="仿宋"/>
                <w:color w:val="000000" w:themeColor="text1"/>
                <w:sz w:val="22"/>
                <w:lang w:val="zh-TW"/>
              </w:rPr>
              <w:t>供应商</w:t>
            </w:r>
            <w:r>
              <w:rPr>
                <w:rFonts w:hint="eastAsia" w:ascii="仿宋" w:hAnsi="仿宋" w:eastAsia="仿宋" w:cs="仿宋"/>
                <w:color w:val="000000" w:themeColor="text1"/>
                <w:sz w:val="22"/>
                <w:lang w:val="zh-TW" w:eastAsia="zh-TW"/>
              </w:rPr>
              <w:t>和</w:t>
            </w:r>
            <w:r>
              <w:rPr>
                <w:rFonts w:hint="eastAsia" w:ascii="仿宋" w:hAnsi="仿宋" w:eastAsia="仿宋" w:cs="仿宋"/>
                <w:color w:val="000000" w:themeColor="text1"/>
                <w:sz w:val="22"/>
              </w:rPr>
              <w:t>服务</w:t>
            </w:r>
            <w:r>
              <w:rPr>
                <w:rFonts w:hint="eastAsia" w:ascii="仿宋" w:hAnsi="仿宋" w:eastAsia="仿宋" w:cs="仿宋"/>
                <w:color w:val="000000" w:themeColor="text1"/>
                <w:sz w:val="22"/>
                <w:lang w:val="zh-TW" w:eastAsia="zh-TW"/>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3</w:t>
            </w:r>
            <w:r>
              <w:rPr>
                <w:rFonts w:hint="eastAsia" w:ascii="仿宋" w:hAnsi="仿宋" w:eastAsia="仿宋" w:cs="仿宋"/>
                <w:color w:val="000000" w:themeColor="text1"/>
                <w:sz w:val="22"/>
                <w:lang w:val="zh-TW"/>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医疗耗材</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时效要求</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（若涉及）</w:t>
            </w:r>
          </w:p>
        </w:tc>
        <w:tc>
          <w:tcPr>
            <w:tcW w:w="6706" w:type="dxa"/>
            <w:vAlign w:val="center"/>
          </w:tcPr>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根据临床科室使用，对所供医用耗材应备足货源，确保需求。对于我院临时采购计划，应当在指定时间内供货到指定位置。急诊或急救耗材</w:t>
            </w:r>
            <w:r>
              <w:rPr>
                <w:rFonts w:hint="eastAsia" w:ascii="仿宋" w:hAnsi="仿宋" w:eastAsia="仿宋" w:cs="仿宋"/>
                <w:color w:val="000000" w:themeColor="text1"/>
                <w:sz w:val="22"/>
              </w:rPr>
              <w:t>供应商</w:t>
            </w:r>
            <w:r>
              <w:rPr>
                <w:rFonts w:hint="eastAsia" w:ascii="仿宋" w:hAnsi="仿宋" w:eastAsia="仿宋" w:cs="仿宋"/>
                <w:color w:val="000000" w:themeColor="text1"/>
                <w:sz w:val="22"/>
                <w:lang w:val="zh-TW"/>
              </w:rPr>
              <w:t>必须保证随时供货，不得因供货不及时影响</w:t>
            </w:r>
            <w:r>
              <w:rPr>
                <w:rFonts w:hint="eastAsia" w:ascii="仿宋" w:hAnsi="仿宋" w:eastAsia="仿宋" w:cs="仿宋"/>
                <w:color w:val="000000" w:themeColor="text1"/>
                <w:sz w:val="22"/>
              </w:rPr>
              <w:t>采购人</w:t>
            </w:r>
            <w:r>
              <w:rPr>
                <w:rFonts w:hint="eastAsia" w:ascii="仿宋" w:hAnsi="仿宋" w:eastAsia="仿宋" w:cs="仿宋"/>
                <w:color w:val="000000" w:themeColor="text1"/>
                <w:sz w:val="22"/>
                <w:lang w:val="zh-TW"/>
              </w:rPr>
              <w:t>正常医疗工作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（1）供应商在采购活动中，不得有任何违法乱纪的行为；</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自本项目采购公告发布之日起5个工作日内，结果公告发布之日起1个工作日内通过书面形式或隆道云系统线下提交或线上提交；</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pPr>
              <w:pStyle w:val="26"/>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（1）比选完成后，采购人在系统中发出中选公告；</w:t>
            </w:r>
          </w:p>
          <w:p>
            <w:pPr>
              <w:pStyle w:val="26"/>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（2）请中选供应商在中选公告发出一个工作日后，联系招标采购中心合同组（028-87394783）并将合同初稿发送至邮箱zbcgzxhtz@med.uestc.edu.cn</w:t>
            </w:r>
          </w:p>
          <w:p>
            <w:pPr>
              <w:pStyle w:val="26"/>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6"/>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“采购人”系指本次组织比选的四川省人民医院；</w:t>
            </w:r>
          </w:p>
          <w:p>
            <w:pPr>
              <w:pStyle w:val="26"/>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9" w:name="_Toc19400"/>
      <w:bookmarkStart w:id="10" w:name="_Toc5333"/>
      <w:bookmarkStart w:id="11" w:name="_Toc28050"/>
      <w:r>
        <w:rPr>
          <w:rFonts w:hint="eastAsia" w:ascii="黑体" w:hAnsi="黑体" w:eastAsia="黑体" w:cs="黑体"/>
          <w:b/>
          <w:sz w:val="36"/>
          <w:szCs w:val="32"/>
        </w:rPr>
        <w:t xml:space="preserve"> 供应商资格审查及符合性审查</w:t>
      </w:r>
      <w:bookmarkEnd w:id="9"/>
      <w:bookmarkEnd w:id="10"/>
      <w:bookmarkEnd w:id="11"/>
    </w:p>
    <w:p>
      <w:pPr>
        <w:pStyle w:val="2"/>
        <w:ind w:firstLine="3253" w:firstLineChars="900"/>
        <w:rPr>
          <w:rFonts w:ascii="黑体" w:hAnsi="黑体" w:eastAsia="黑体" w:cs="黑体"/>
          <w:b/>
          <w:sz w:val="36"/>
          <w:szCs w:val="32"/>
        </w:rPr>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pPr>
              <w:jc w:val="center"/>
              <w:rPr>
                <w:rFonts w:ascii="仿宋" w:hAnsi="仿宋" w:eastAsia="仿宋" w:cs="仿宋"/>
                <w:b/>
                <w:sz w:val="22"/>
              </w:rPr>
            </w:pPr>
            <w:r>
              <w:rPr>
                <w:rFonts w:ascii="等线" w:hAnsi="等线" w:eastAsia="仿宋"/>
                <w:b/>
                <w:color w:val="000000" w:themeColor="text1"/>
                <w:sz w:val="22"/>
              </w:rPr>
              <w:t>具有独立承担民事责任的能力</w:t>
            </w:r>
          </w:p>
        </w:tc>
        <w:tc>
          <w:tcPr>
            <w:tcW w:w="4398" w:type="dxa"/>
            <w:vAlign w:val="center"/>
          </w:tcPr>
          <w:p>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ascii="仿宋" w:hAnsi="仿宋" w:eastAsia="仿宋" w:cs="仿宋"/>
              </w:rPr>
            </w:pPr>
            <w:r>
              <w:rPr>
                <w:rFonts w:hint="eastAsia" w:ascii="仿宋" w:hAnsi="仿宋" w:eastAsia="仿宋" w:cs="仿宋"/>
              </w:rPr>
              <w:t>（3）若为其他组织：提供“对应主管部门颁发的准许执业证明文件或营业执照”；</w:t>
            </w:r>
          </w:p>
          <w:p>
            <w:r>
              <w:rPr>
                <w:rFonts w:hint="eastAsia" w:ascii="仿宋" w:hAnsi="仿宋" w:eastAsia="仿宋" w:cs="仿宋"/>
              </w:rPr>
              <w:t>（4）若为自然人：提供“身份证明材料”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pPr>
              <w:jc w:val="center"/>
              <w:rPr>
                <w:rFonts w:ascii="仿宋" w:hAnsi="仿宋" w:eastAsia="仿宋" w:cs="仿宋"/>
                <w:b/>
                <w:sz w:val="22"/>
              </w:rPr>
            </w:pPr>
            <w:r>
              <w:rPr>
                <w:rFonts w:ascii="仿宋" w:hAnsi="仿宋" w:eastAsia="仿宋"/>
                <w:b/>
                <w:color w:val="000000" w:themeColor="text1"/>
                <w:sz w:val="22"/>
              </w:rPr>
              <w:t>具有健全的财务会计制度</w:t>
            </w:r>
          </w:p>
        </w:tc>
        <w:tc>
          <w:tcPr>
            <w:tcW w:w="4398" w:type="dxa"/>
            <w:vAlign w:val="center"/>
          </w:tcPr>
          <w:p>
            <w:pPr>
              <w:rPr>
                <w:rFonts w:ascii="仿宋" w:hAnsi="仿宋" w:eastAsia="仿宋" w:cs="仿宋"/>
                <w:sz w:val="22"/>
              </w:rPr>
            </w:pPr>
            <w:r>
              <w:rPr>
                <w:rFonts w:hint="eastAsia" w:ascii="仿宋" w:hAnsi="仿宋" w:eastAsia="仿宋" w:cs="仿宋"/>
                <w:sz w:val="22"/>
              </w:rPr>
              <w:t>供应商根据自身情况选择提供其中任意一项：</w:t>
            </w:r>
          </w:p>
          <w:p>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具有履行合同所必需的设备和专业技术能力</w:t>
            </w:r>
          </w:p>
        </w:tc>
        <w:tc>
          <w:tcPr>
            <w:tcW w:w="4398"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有依法缴纳税收和社会保障资金的良好记录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pPr>
              <w:spacing w:line="360" w:lineRule="auto"/>
              <w:jc w:val="center"/>
              <w:rPr>
                <w:rFonts w:ascii="仿宋" w:hAnsi="仿宋" w:eastAsia="仿宋"/>
                <w:b/>
                <w:color w:val="000000" w:themeColor="text1"/>
                <w:sz w:val="22"/>
              </w:rPr>
            </w:pPr>
            <w:r>
              <w:rPr>
                <w:rFonts w:ascii="仿宋" w:hAnsi="仿宋" w:eastAsia="仿宋"/>
                <w:b/>
                <w:color w:val="000000" w:themeColor="text1"/>
                <w:sz w:val="22"/>
              </w:rPr>
              <w:t>具有良好的商业信誉</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rPr>
              <w:t>参加本次采购活动前三年内，在经营活动中没有重大违法记录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法律、行政法规规定的其他条件</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pPr>
              <w:jc w:val="center"/>
              <w:rPr>
                <w:rFonts w:ascii="仿宋" w:hAnsi="仿宋" w:eastAsia="仿宋" w:cs="仿宋"/>
                <w:color w:val="000000"/>
                <w:sz w:val="22"/>
              </w:rPr>
            </w:pPr>
            <w:r>
              <w:rPr>
                <w:rFonts w:hint="eastAsia" w:ascii="仿宋" w:hAnsi="仿宋" w:eastAsia="仿宋"/>
                <w:b/>
                <w:color w:val="000000" w:themeColor="text1"/>
                <w:sz w:val="22"/>
              </w:rPr>
              <w:t>未被列入失信被执行人、重大税收违法案件当事人名单、政府采购严重违法失信行为记录名单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bl>
    <w:p>
      <w:r>
        <w:br w:type="page"/>
      </w:r>
    </w:p>
    <w:p>
      <w:pPr>
        <w:pStyle w:val="24"/>
      </w:pPr>
    </w:p>
    <w:p>
      <w:pPr>
        <w:pStyle w:val="24"/>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ascii="仿宋" w:hAnsi="仿宋" w:eastAsia="仿宋" w:cs="仿宋"/>
                <w:b/>
                <w:sz w:val="22"/>
              </w:rPr>
            </w:pPr>
            <w:r>
              <w:rPr>
                <w:rFonts w:hint="eastAsia" w:ascii="等线" w:hAnsi="等线" w:eastAsia="仿宋"/>
                <w:b/>
                <w:color w:val="000000" w:themeColor="text1"/>
                <w:sz w:val="22"/>
              </w:rPr>
              <w:t>法定代表人身份证明书或法定代表人授权委托书</w:t>
            </w:r>
          </w:p>
        </w:tc>
        <w:tc>
          <w:tcPr>
            <w:tcW w:w="486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比选文件中实质性要求</w:t>
            </w:r>
          </w:p>
        </w:tc>
        <w:tc>
          <w:tcPr>
            <w:tcW w:w="4867" w:type="dxa"/>
            <w:vAlign w:val="center"/>
          </w:tcPr>
          <w:p>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比选申请文件编制</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签字、盖章</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报价</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12" w:name="_Toc3988"/>
      <w:bookmarkStart w:id="13" w:name="_Toc12668"/>
      <w:bookmarkStart w:id="14" w:name="_Toc3642"/>
      <w:r>
        <w:rPr>
          <w:rFonts w:hint="eastAsia" w:ascii="黑体" w:hAnsi="黑体" w:eastAsia="黑体" w:cs="黑体"/>
          <w:b/>
          <w:sz w:val="36"/>
          <w:szCs w:val="32"/>
        </w:rPr>
        <w:t>采购需求</w:t>
      </w:r>
      <w:bookmarkEnd w:id="12"/>
      <w:bookmarkEnd w:id="13"/>
      <w:bookmarkEnd w:id="14"/>
    </w:p>
    <w:p>
      <w:pPr>
        <w:pStyle w:val="16"/>
        <w:spacing w:before="0" w:after="0" w:line="360" w:lineRule="auto"/>
        <w:ind w:firstLine="0"/>
        <w:rPr>
          <w:rFonts w:ascii="仿宋" w:hAnsi="仿宋" w:eastAsia="仿宋" w:cs="仿宋"/>
          <w:sz w:val="24"/>
          <w:szCs w:val="24"/>
        </w:rPr>
      </w:pPr>
      <w:r>
        <w:rPr>
          <w:rFonts w:hint="eastAsia" w:ascii="仿宋" w:hAnsi="仿宋" w:eastAsia="仿宋" w:cs="仿宋"/>
          <w:b/>
          <w:bCs/>
          <w:sz w:val="24"/>
          <w:szCs w:val="24"/>
        </w:rPr>
        <w:t>一、项目概况</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本项目拟采用公开比选的方式购买一套不锈钢分离台。</w:t>
      </w:r>
    </w:p>
    <w:p>
      <w:pPr>
        <w:spacing w:line="360" w:lineRule="auto"/>
        <w:jc w:val="left"/>
        <w:rPr>
          <w:rFonts w:ascii="仿宋" w:hAnsi="仿宋" w:eastAsia="仿宋" w:cs="仿宋"/>
          <w:sz w:val="24"/>
          <w:szCs w:val="24"/>
        </w:rPr>
      </w:pPr>
      <w:r>
        <w:rPr>
          <w:rFonts w:hint="eastAsia" w:ascii="仿宋" w:hAnsi="仿宋" w:eastAsia="仿宋" w:cs="仿宋"/>
          <w:b/>
          <w:bCs/>
          <w:sz w:val="24"/>
        </w:rPr>
        <w:t>★二、</w:t>
      </w:r>
      <w:r>
        <w:rPr>
          <w:rFonts w:hint="eastAsia" w:ascii="仿宋" w:hAnsi="仿宋" w:eastAsia="仿宋" w:cs="仿宋"/>
          <w:b/>
          <w:bCs/>
          <w:sz w:val="24"/>
          <w:szCs w:val="24"/>
        </w:rPr>
        <w:t>技术、服务要求</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毛发移植毛囊分离操作台：</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不锈钢材质、4人位、桌面宽60cm，高90cm，长度根据现场测量尺寸为准，不低于200cm。带抽屉，带LED照明灯。（见附图）</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LED灯参数：220v插电式书桌灯条，国AA级学习护眼灯，5000k,长度根据桌面调整。</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以上尺寸以现场测量为准。</w:t>
      </w:r>
    </w:p>
    <w:p>
      <w:pPr>
        <w:widowControl/>
        <w:textAlignment w:val="center"/>
        <w:rPr>
          <w:rFonts w:ascii="宋体" w:hAnsi="宋体" w:eastAsia="宋体" w:cs="宋体"/>
          <w:color w:val="000000"/>
          <w:kern w:val="0"/>
          <w:sz w:val="24"/>
        </w:rPr>
      </w:pPr>
      <w:r>
        <w:rPr>
          <w:rFonts w:ascii="宋体" w:hAnsi="宋体" w:eastAsia="宋体" w:cs="宋体"/>
          <w:color w:val="000000"/>
          <w:kern w:val="0"/>
          <w:sz w:val="24"/>
        </w:rPr>
        <w:drawing>
          <wp:inline distT="0" distB="0" distL="114300" distR="114300">
            <wp:extent cx="3198495" cy="2399030"/>
            <wp:effectExtent l="0" t="0" r="1905" b="1270"/>
            <wp:docPr id="2" name="图片 2" descr="不锈钢分离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不锈钢分离台"/>
                    <pic:cNvPicPr>
                      <a:picLocks noChangeAspect="1"/>
                    </pic:cNvPicPr>
                  </pic:nvPicPr>
                  <pic:blipFill>
                    <a:blip r:embed="rId11"/>
                    <a:stretch>
                      <a:fillRect/>
                    </a:stretch>
                  </pic:blipFill>
                  <pic:spPr>
                    <a:xfrm>
                      <a:off x="0" y="0"/>
                      <a:ext cx="3198495" cy="2399030"/>
                    </a:xfrm>
                    <a:prstGeom prst="rect">
                      <a:avLst/>
                    </a:prstGeom>
                  </pic:spPr>
                </pic:pic>
              </a:graphicData>
            </a:graphic>
          </wp:inline>
        </w:drawing>
      </w:r>
    </w:p>
    <w:p>
      <w:pPr>
        <w:jc w:val="left"/>
        <w:rPr>
          <w:rFonts w:ascii="仿宋" w:hAnsi="仿宋" w:eastAsia="仿宋" w:cs="仿宋"/>
          <w:b/>
          <w:bCs/>
          <w:sz w:val="24"/>
        </w:rPr>
      </w:pPr>
      <w:r>
        <w:rPr>
          <w:rFonts w:ascii="宋体" w:hAnsi="宋体" w:eastAsia="宋体" w:cs="宋体"/>
          <w:color w:val="000000"/>
          <w:kern w:val="0"/>
          <w:sz w:val="24"/>
        </w:rPr>
        <w:drawing>
          <wp:inline distT="0" distB="0" distL="0" distR="0">
            <wp:extent cx="2534920" cy="2979420"/>
            <wp:effectExtent l="0" t="0" r="1778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4920" cy="2979420"/>
                    </a:xfrm>
                    <a:prstGeom prst="rect">
                      <a:avLst/>
                    </a:prstGeom>
                  </pic:spPr>
                </pic:pic>
              </a:graphicData>
            </a:graphic>
          </wp:inline>
        </w:drawing>
      </w:r>
    </w:p>
    <w:p>
      <w:pPr>
        <w:pStyle w:val="16"/>
        <w:spacing w:before="0" w:after="0" w:line="360" w:lineRule="auto"/>
        <w:ind w:firstLine="0"/>
        <w:rPr>
          <w:rFonts w:ascii="仿宋" w:hAnsi="仿宋" w:eastAsia="仿宋" w:cs="仿宋"/>
          <w:b/>
          <w:bCs/>
          <w:sz w:val="24"/>
          <w:szCs w:val="24"/>
        </w:rPr>
      </w:pPr>
      <w:r>
        <w:rPr>
          <w:rFonts w:hint="eastAsia" w:ascii="仿宋" w:hAnsi="仿宋" w:eastAsia="仿宋" w:cs="仿宋"/>
          <w:b/>
          <w:bCs/>
          <w:sz w:val="24"/>
          <w:szCs w:val="22"/>
        </w:rPr>
        <w:t>★三</w:t>
      </w:r>
      <w:r>
        <w:rPr>
          <w:rFonts w:hint="eastAsia" w:ascii="仿宋" w:hAnsi="仿宋" w:eastAsia="仿宋" w:cs="仿宋"/>
          <w:b/>
          <w:bCs/>
          <w:sz w:val="24"/>
          <w:szCs w:val="24"/>
        </w:rPr>
        <w:t>、商务要求：</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（一）履约验收方案：医院库房、需求科室、供应商三方验收。</w:t>
      </w:r>
      <w:r>
        <w:rPr>
          <w:rFonts w:hint="eastAsia" w:ascii="仿宋" w:hAnsi="仿宋" w:eastAsia="仿宋" w:cs="仿宋"/>
          <w:sz w:val="24"/>
          <w:szCs w:val="24"/>
        </w:rPr>
        <w:cr/>
      </w:r>
      <w:r>
        <w:rPr>
          <w:rFonts w:hint="eastAsia" w:ascii="仿宋" w:hAnsi="仿宋" w:eastAsia="仿宋" w:cs="仿宋"/>
          <w:sz w:val="24"/>
          <w:szCs w:val="24"/>
        </w:rPr>
        <w:t>（二）拟需交付时间：合同签订后15日内。</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（三）货物包安装，货物具体安装场地：四川省人民医院皮肤科。</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（四）免费质保期：不低于2年。</w:t>
      </w:r>
    </w:p>
    <w:p>
      <w:pPr>
        <w:pStyle w:val="16"/>
        <w:spacing w:line="360" w:lineRule="auto"/>
        <w:ind w:firstLine="0"/>
        <w:rPr>
          <w:rFonts w:ascii="仿宋" w:hAnsi="仿宋" w:eastAsia="仿宋" w:cs="仿宋"/>
          <w:sz w:val="24"/>
          <w:szCs w:val="24"/>
        </w:rPr>
      </w:pPr>
      <w:r>
        <w:rPr>
          <w:rFonts w:hint="eastAsia" w:ascii="仿宋" w:hAnsi="仿宋" w:eastAsia="仿宋" w:cs="仿宋"/>
          <w:sz w:val="24"/>
          <w:szCs w:val="24"/>
        </w:rPr>
        <w:t>（五）售后服务方案：若质保期内货物出现故障，乙方在24小时内排除故障，无需准备备件。</w:t>
      </w:r>
    </w:p>
    <w:p>
      <w:pPr>
        <w:pStyle w:val="16"/>
        <w:spacing w:line="360" w:lineRule="auto"/>
        <w:ind w:firstLine="0"/>
        <w:rPr>
          <w:rFonts w:ascii="仿宋" w:hAnsi="仿宋" w:eastAsia="仿宋" w:cs="仿宋"/>
          <w:sz w:val="24"/>
          <w:szCs w:val="24"/>
        </w:rPr>
      </w:pPr>
      <w:r>
        <w:rPr>
          <w:rFonts w:hint="eastAsia" w:ascii="仿宋" w:hAnsi="仿宋" w:eastAsia="仿宋" w:cs="仿宋"/>
          <w:sz w:val="24"/>
          <w:szCs w:val="24"/>
        </w:rPr>
        <w:t>（六）付款条件：货物验收后60日内支付合同金额100%。</w:t>
      </w:r>
    </w:p>
    <w:p>
      <w:pPr>
        <w:pStyle w:val="16"/>
        <w:ind w:firstLine="0"/>
        <w:rPr>
          <w:rFonts w:ascii="仿宋" w:hAnsi="仿宋" w:eastAsia="仿宋" w:cs="仿宋"/>
          <w:sz w:val="24"/>
          <w:szCs w:val="24"/>
        </w:rPr>
      </w:pPr>
    </w:p>
    <w:p>
      <w:pPr>
        <w:pStyle w:val="16"/>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2"/>
        </w:rPr>
        <w:t>★</w:t>
      </w:r>
      <w:r>
        <w:rPr>
          <w:rFonts w:hint="eastAsia" w:ascii="仿宋" w:hAnsi="仿宋" w:eastAsia="仿宋" w:cs="仿宋"/>
          <w:sz w:val="24"/>
          <w:szCs w:val="24"/>
        </w:rPr>
        <w:t>”的条款为实质性要求，不满足将被作为无效响应处理。</w:t>
      </w:r>
    </w:p>
    <w:p>
      <w:pPr>
        <w:spacing w:line="360" w:lineRule="auto"/>
        <w:jc w:val="left"/>
        <w:rPr>
          <w:rFonts w:ascii="宋体" w:hAnsi="宋体" w:eastAsia="宋体" w:cs="宋体"/>
          <w:sz w:val="24"/>
          <w:szCs w:val="24"/>
        </w:rPr>
      </w:pPr>
    </w:p>
    <w:p>
      <w:r>
        <w:br w:type="page"/>
      </w:r>
    </w:p>
    <w:p>
      <w:pPr>
        <w:widowControl/>
        <w:numPr>
          <w:ilvl w:val="0"/>
          <w:numId w:val="2"/>
        </w:numPr>
        <w:spacing w:line="520" w:lineRule="exact"/>
        <w:jc w:val="center"/>
        <w:outlineLvl w:val="0"/>
        <w:rPr>
          <w:rFonts w:ascii="黑体" w:hAnsi="黑体" w:eastAsia="黑体" w:cs="黑体"/>
          <w:b/>
          <w:sz w:val="36"/>
          <w:szCs w:val="32"/>
        </w:rPr>
      </w:pPr>
      <w:bookmarkStart w:id="15" w:name="_Toc22588"/>
      <w:bookmarkStart w:id="16" w:name="_Toc16738"/>
      <w:bookmarkStart w:id="17" w:name="_Toc13768"/>
      <w:r>
        <w:rPr>
          <w:rFonts w:hint="eastAsia" w:ascii="黑体" w:hAnsi="黑体" w:eastAsia="黑体" w:cs="黑体"/>
          <w:b/>
          <w:sz w:val="36"/>
          <w:szCs w:val="32"/>
        </w:rPr>
        <w:t>评分标准</w:t>
      </w:r>
      <w:bookmarkEnd w:id="15"/>
      <w:bookmarkEnd w:id="16"/>
      <w:bookmarkEnd w:id="17"/>
    </w:p>
    <w:p>
      <w:pPr>
        <w:pStyle w:val="2"/>
      </w:pPr>
    </w:p>
    <w:p>
      <w:pPr>
        <w:jc w:val="center"/>
        <w:rPr>
          <w:rFonts w:ascii="仿宋" w:hAnsi="仿宋" w:eastAsia="仿宋" w:cs="仿宋"/>
          <w:sz w:val="24"/>
          <w:szCs w:val="24"/>
        </w:rPr>
      </w:pPr>
      <w:r>
        <w:rPr>
          <w:rFonts w:hint="eastAsia" w:ascii="仿宋" w:hAnsi="仿宋" w:eastAsia="仿宋" w:cs="仿宋"/>
          <w:sz w:val="24"/>
          <w:szCs w:val="24"/>
        </w:rPr>
        <w:t>本项目采用最低评分法。</w:t>
      </w:r>
    </w:p>
    <w:p>
      <w:pPr>
        <w:rPr>
          <w:rFonts w:ascii="仿宋" w:hAnsi="仿宋" w:eastAsia="仿宋" w:cs="仿宋"/>
          <w:sz w:val="24"/>
          <w:szCs w:val="24"/>
        </w:rPr>
      </w:pPr>
      <w:r>
        <w:rPr>
          <w:rFonts w:hint="eastAsia" w:ascii="仿宋" w:hAnsi="仿宋" w:eastAsia="仿宋" w:cs="仿宋"/>
          <w:sz w:val="24"/>
          <w:szCs w:val="24"/>
        </w:rPr>
        <w:br w:type="page"/>
      </w:r>
    </w:p>
    <w:p>
      <w:pPr>
        <w:widowControl/>
        <w:numPr>
          <w:ilvl w:val="0"/>
          <w:numId w:val="2"/>
        </w:numPr>
        <w:spacing w:line="520" w:lineRule="exact"/>
        <w:jc w:val="center"/>
        <w:outlineLvl w:val="0"/>
        <w:rPr>
          <w:rFonts w:ascii="黑体" w:hAnsi="黑体" w:eastAsia="黑体" w:cs="黑体"/>
          <w:b/>
          <w:sz w:val="36"/>
          <w:szCs w:val="32"/>
        </w:rPr>
      </w:pPr>
      <w:bookmarkStart w:id="18" w:name="_Toc3094"/>
      <w:bookmarkStart w:id="19" w:name="_Toc10063"/>
      <w:bookmarkStart w:id="20" w:name="_Toc22827"/>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4960"/>
      <w:bookmarkStart w:id="22" w:name="_Toc29819"/>
      <w:bookmarkStart w:id="23" w:name="_Toc5913"/>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9428"/>
      <w:bookmarkStart w:id="25" w:name="_Toc19851"/>
      <w:bookmarkStart w:id="26" w:name="_Toc30609"/>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32352"/>
      <w:bookmarkStart w:id="28" w:name="_Toc1544"/>
      <w:bookmarkStart w:id="29" w:name="_Toc9041"/>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84"/>
          <w:szCs w:val="24"/>
        </w:rPr>
      </w:pPr>
      <w:bookmarkStart w:id="30" w:name="_Toc24097"/>
      <w:bookmarkStart w:id="31" w:name="_Toc21472"/>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17163"/>
      <w:bookmarkStart w:id="34" w:name="_Toc24859"/>
      <w:bookmarkStart w:id="35" w:name="_Toc32749"/>
      <w:bookmarkStart w:id="36" w:name="_Toc1690"/>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6803"/>
      <w:bookmarkStart w:id="38" w:name="_Toc24123"/>
      <w:bookmarkStart w:id="39" w:name="_Toc17905"/>
      <w:bookmarkStart w:id="40" w:name="_Toc3558"/>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2989"/>
      <w:bookmarkStart w:id="42" w:name="_Toc27526"/>
      <w:bookmarkStart w:id="43" w:name="_Toc27135"/>
      <w:bookmarkStart w:id="44" w:name="_Toc5996"/>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2031"/>
      <w:bookmarkStart w:id="46" w:name="_Toc19987"/>
      <w:bookmarkStart w:id="47" w:name="_Toc7233"/>
      <w:bookmarkStart w:id="48" w:name="_Toc5056"/>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21519"/>
      <w:bookmarkStart w:id="50" w:name="_Toc16029"/>
      <w:bookmarkStart w:id="51" w:name="_Toc6482"/>
      <w:bookmarkStart w:id="52" w:name="_Toc3023"/>
      <w:bookmarkStart w:id="53" w:name="_Toc14829"/>
      <w:bookmarkStart w:id="54" w:name="_Toc11352"/>
    </w:p>
    <w:p>
      <w:pPr>
        <w:spacing w:line="700" w:lineRule="exact"/>
        <w:jc w:val="center"/>
        <w:outlineLvl w:val="1"/>
        <w:rPr>
          <w:rStyle w:val="30"/>
          <w:rFonts w:ascii="仿宋" w:hAnsi="仿宋" w:eastAsia="仿宋" w:cs="仿宋"/>
          <w:b/>
          <w:bCs/>
          <w:sz w:val="32"/>
          <w:szCs w:val="28"/>
        </w:rPr>
      </w:pPr>
      <w:r>
        <w:rPr>
          <w:rStyle w:val="30"/>
          <w:rFonts w:hint="eastAsia" w:ascii="仿宋" w:hAnsi="仿宋" w:eastAsia="仿宋" w:cs="仿宋"/>
          <w:b/>
          <w:bCs/>
          <w:sz w:val="32"/>
          <w:szCs w:val="28"/>
        </w:rPr>
        <w:t>一、承诺函</w:t>
      </w:r>
      <w:bookmarkEnd w:id="49"/>
      <w:bookmarkEnd w:id="50"/>
      <w:bookmarkEnd w:id="51"/>
      <w:bookmarkEnd w:id="52"/>
      <w:bookmarkEnd w:id="53"/>
      <w:bookmarkEnd w:id="54"/>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12.我方承诺向贵单位供货的同规格型号同质量等级医用物资为全省最低价，办公用品、装修材料、营养科食材、工会福利等为同时期成都市集团采购最低价。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31838"/>
      <w:bookmarkStart w:id="56" w:name="_Toc22676"/>
      <w:bookmarkStart w:id="57" w:name="_Toc30971"/>
      <w:bookmarkStart w:id="58" w:name="_Toc17857"/>
    </w:p>
    <w:p>
      <w:pPr>
        <w:spacing w:line="700" w:lineRule="exact"/>
        <w:jc w:val="center"/>
        <w:outlineLvl w:val="1"/>
        <w:rPr>
          <w:rStyle w:val="30"/>
          <w:rFonts w:ascii="仿宋" w:hAnsi="仿宋" w:eastAsia="仿宋" w:cs="仿宋"/>
          <w:b/>
          <w:bCs/>
          <w:sz w:val="32"/>
          <w:szCs w:val="28"/>
        </w:rPr>
      </w:pPr>
      <w:bookmarkStart w:id="59" w:name="_Toc4305"/>
      <w:r>
        <w:rPr>
          <w:rStyle w:val="30"/>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2"/>
        <w:jc w:val="center"/>
        <w:rPr>
          <w:rFonts w:ascii="仿宋" w:hAnsi="仿宋" w:eastAsia="仿宋" w:cs="仿宋"/>
          <w:b/>
          <w:bCs/>
        </w:rPr>
      </w:pPr>
    </w:p>
    <w:p>
      <w:pPr>
        <w:pStyle w:val="2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30"/>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30"/>
          <w:rFonts w:ascii="仿宋" w:hAnsi="仿宋" w:eastAsia="仿宋" w:cs="仿宋"/>
          <w:sz w:val="32"/>
          <w:szCs w:val="28"/>
        </w:rPr>
      </w:pPr>
      <w:r>
        <w:rPr>
          <w:rFonts w:hint="eastAsia" w:ascii="仿宋" w:hAnsi="仿宋" w:eastAsia="仿宋" w:cs="仿宋"/>
          <w:b/>
          <w:bCs/>
        </w:rPr>
        <w:br w:type="page"/>
      </w:r>
      <w:bookmarkStart w:id="60" w:name="_Toc27186"/>
      <w:bookmarkStart w:id="61" w:name="_Toc15613"/>
      <w:bookmarkStart w:id="62" w:name="_Toc30158"/>
      <w:r>
        <w:rPr>
          <w:rStyle w:val="30"/>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904"/>
      <w:bookmarkStart w:id="64" w:name="_Toc25357"/>
      <w:bookmarkStart w:id="65" w:name="_Toc13706"/>
    </w:p>
    <w:p>
      <w:pPr>
        <w:spacing w:line="700" w:lineRule="exact"/>
        <w:jc w:val="center"/>
        <w:outlineLvl w:val="1"/>
        <w:rPr>
          <w:rStyle w:val="30"/>
          <w:rFonts w:ascii="仿宋" w:hAnsi="仿宋" w:eastAsia="仿宋" w:cs="仿宋"/>
          <w:b/>
          <w:bCs/>
          <w:sz w:val="32"/>
          <w:szCs w:val="28"/>
        </w:rPr>
      </w:pPr>
      <w:bookmarkStart w:id="66" w:name="_Toc15508"/>
      <w:bookmarkStart w:id="67" w:name="_Toc23146"/>
      <w:r>
        <w:rPr>
          <w:rStyle w:val="30"/>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29"/>
        <w:ind w:firstLine="480" w:firstLineChars="200"/>
        <w:rPr>
          <w:rFonts w:ascii="仿宋" w:hAnsi="仿宋" w:eastAsia="仿宋" w:cs="仿宋"/>
          <w:color w:val="auto"/>
        </w:rPr>
      </w:pPr>
      <w:r>
        <w:rPr>
          <w:rFonts w:hint="eastAsia" w:ascii="仿宋" w:hAnsi="仿宋" w:eastAsia="仿宋" w:cs="仿宋"/>
          <w:color w:val="auto"/>
        </w:rPr>
        <w:t>(......)</w:t>
      </w:r>
    </w:p>
    <w:p>
      <w:pPr>
        <w:pStyle w:val="29"/>
        <w:ind w:left="420" w:leftChars="200"/>
        <w:jc w:val="both"/>
        <w:rPr>
          <w:rFonts w:ascii="仿宋" w:hAnsi="仿宋" w:eastAsia="仿宋" w:cs="仿宋"/>
          <w:color w:val="auto"/>
        </w:rPr>
      </w:pPr>
    </w:p>
    <w:p>
      <w:pPr>
        <w:pStyle w:val="29"/>
        <w:jc w:val="both"/>
        <w:rPr>
          <w:rFonts w:ascii="仿宋" w:hAnsi="仿宋" w:eastAsia="仿宋" w:cs="仿宋"/>
          <w:iCs/>
          <w:color w:val="auto"/>
        </w:rPr>
      </w:pPr>
      <w:r>
        <w:rPr>
          <w:rFonts w:hint="eastAsia" w:ascii="仿宋" w:hAnsi="仿宋" w:eastAsia="仿宋" w:cs="仿宋"/>
          <w:iCs/>
          <w:color w:val="auto"/>
        </w:rPr>
        <w:t>（若未涉及，填“无”即可）</w:t>
      </w:r>
    </w:p>
    <w:p>
      <w:pPr>
        <w:pStyle w:val="16"/>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15526"/>
      <w:bookmarkStart w:id="69" w:name="_Toc25638"/>
      <w:bookmarkStart w:id="70" w:name="_Toc20589"/>
      <w:bookmarkStart w:id="71" w:name="_Toc27661"/>
      <w:bookmarkStart w:id="72" w:name="_Toc11351"/>
      <w:bookmarkStart w:id="73" w:name="_Toc12015"/>
      <w:r>
        <w:rPr>
          <w:rStyle w:val="30"/>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9"/>
        <w:jc w:val="center"/>
        <w:rPr>
          <w:rFonts w:ascii="仿宋" w:hAnsi="仿宋" w:eastAsia="仿宋" w:cs="仿宋"/>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9"/>
        <w:rPr>
          <w:rFonts w:ascii="仿宋" w:hAnsi="仿宋" w:eastAsia="仿宋" w:cs="仿宋"/>
          <w:color w:val="auto"/>
        </w:rPr>
      </w:pPr>
      <w:r>
        <w:rPr>
          <w:rFonts w:hint="eastAsia" w:ascii="仿宋" w:hAnsi="仿宋" w:eastAsia="仿宋" w:cs="仿宋"/>
          <w:color w:val="auto"/>
        </w:rPr>
        <w:t>特此证明。</w:t>
      </w:r>
    </w:p>
    <w:p>
      <w:pPr>
        <w:pStyle w:val="29"/>
        <w:jc w:val="both"/>
        <w:rPr>
          <w:rFonts w:ascii="仿宋" w:hAnsi="仿宋" w:eastAsia="仿宋" w:cs="仿宋"/>
          <w:color w:val="auto"/>
        </w:rPr>
      </w:pPr>
    </w:p>
    <w:p>
      <w:pPr>
        <w:pStyle w:val="2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rPr>
          <w:rFonts w:ascii="仿宋" w:hAnsi="仿宋" w:eastAsia="仿宋" w:cs="仿宋"/>
          <w:color w:val="auto"/>
        </w:rPr>
      </w:pPr>
      <w:r>
        <w:rPr>
          <w:rFonts w:hint="eastAsia" w:ascii="仿宋" w:hAnsi="仿宋" w:eastAsia="仿宋" w:cs="仿宋"/>
          <w:color w:val="auto"/>
        </w:rPr>
        <w:t>注：</w:t>
      </w:r>
    </w:p>
    <w:p>
      <w:pPr>
        <w:pStyle w:val="29"/>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9"/>
        <w:jc w:val="both"/>
        <w:rPr>
          <w:rFonts w:ascii="仿宋" w:hAnsi="仿宋" w:eastAsia="仿宋" w:cs="仿宋"/>
          <w:color w:val="auto"/>
          <w:sz w:val="32"/>
          <w:szCs w:val="32"/>
        </w:rPr>
      </w:pPr>
    </w:p>
    <w:p>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pPr>
        <w:pStyle w:val="29"/>
        <w:jc w:val="center"/>
        <w:rPr>
          <w:rFonts w:ascii="仿宋" w:hAnsi="仿宋" w:eastAsia="仿宋" w:cs="仿宋"/>
          <w:b/>
          <w:bCs/>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23967"/>
      <w:bookmarkStart w:id="75" w:name="_Toc26969"/>
      <w:bookmarkStart w:id="76" w:name="_Toc16435"/>
      <w:bookmarkStart w:id="77" w:name="_Toc2041"/>
      <w:bookmarkStart w:id="78" w:name="_Toc12967"/>
      <w:bookmarkStart w:id="79" w:name="_Toc1074"/>
      <w:r>
        <w:rPr>
          <w:rStyle w:val="30"/>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2"/>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6"/>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9"/>
        <w:jc w:val="center"/>
        <w:rPr>
          <w:rFonts w:ascii="仿宋" w:hAnsi="仿宋" w:eastAsia="仿宋" w:cs="仿宋"/>
          <w:color w:val="auto"/>
          <w:sz w:val="32"/>
          <w:szCs w:val="32"/>
        </w:rPr>
      </w:pPr>
    </w:p>
    <w:p>
      <w:pPr>
        <w:pStyle w:val="29"/>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1369"/>
      <w:bookmarkStart w:id="81" w:name="_Toc26839"/>
      <w:bookmarkStart w:id="82" w:name="_Toc24806"/>
      <w:bookmarkStart w:id="83" w:name="_Toc31686"/>
      <w:bookmarkStart w:id="84" w:name="_Toc21082"/>
      <w:bookmarkStart w:id="85" w:name="_Toc28634"/>
      <w:r>
        <w:rPr>
          <w:rStyle w:val="30"/>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9"/>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9"/>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30"/>
          <w:rFonts w:ascii="仿宋" w:hAnsi="仿宋" w:eastAsia="仿宋" w:cs="仿宋"/>
          <w:sz w:val="32"/>
          <w:szCs w:val="28"/>
        </w:rPr>
      </w:pPr>
      <w:r>
        <w:rPr>
          <w:rFonts w:hint="eastAsia" w:ascii="仿宋" w:hAnsi="仿宋" w:eastAsia="仿宋" w:cs="仿宋"/>
          <w:b/>
          <w:bCs/>
          <w:sz w:val="32"/>
          <w:szCs w:val="32"/>
        </w:rPr>
        <w:br w:type="page"/>
      </w:r>
      <w:bookmarkStart w:id="86" w:name="_Toc24494"/>
      <w:bookmarkStart w:id="87" w:name="_Toc3871"/>
      <w:bookmarkStart w:id="88" w:name="_Toc32605"/>
    </w:p>
    <w:p>
      <w:pPr>
        <w:spacing w:line="700" w:lineRule="exact"/>
        <w:jc w:val="center"/>
        <w:outlineLvl w:val="1"/>
        <w:rPr>
          <w:rStyle w:val="30"/>
          <w:rFonts w:ascii="仿宋" w:hAnsi="仿宋" w:eastAsia="仿宋" w:cs="仿宋"/>
          <w:b/>
          <w:bCs/>
          <w:sz w:val="32"/>
          <w:szCs w:val="28"/>
        </w:rPr>
      </w:pPr>
      <w:bookmarkStart w:id="89" w:name="_Toc15065"/>
      <w:r>
        <w:rPr>
          <w:rStyle w:val="30"/>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eastAsia="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.所有报价均用人民币表示。运输、安装、调试、检验、培训、调换、税金和保险等费用以及采购文件规定的其他费用均应包含在报价中。</w:t>
      </w:r>
    </w:p>
    <w:p>
      <w:pPr>
        <w:pStyle w:val="2"/>
        <w:rPr>
          <w:rFonts w:ascii="仿宋" w:hAnsi="仿宋" w:eastAsia="仿宋" w:cs="仿宋"/>
          <w:b/>
          <w:bCs/>
        </w:rPr>
      </w:pPr>
      <w:r>
        <w:rPr>
          <w:rFonts w:hint="eastAsia" w:ascii="仿宋" w:hAnsi="仿宋" w:eastAsia="仿宋" w:cs="仿宋"/>
          <w:b/>
          <w:bCs/>
        </w:rPr>
        <w:t>2.报价一览表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764"/>
        <w:gridCol w:w="1569"/>
        <w:gridCol w:w="1569"/>
        <w:gridCol w:w="1569"/>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vAlign w:val="center"/>
          </w:tcPr>
          <w:p>
            <w:pPr>
              <w:pStyle w:val="2"/>
              <w:spacing w:after="0"/>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1764" w:type="dxa"/>
            <w:vAlign w:val="center"/>
          </w:tcPr>
          <w:p>
            <w:pPr>
              <w:pStyle w:val="2"/>
              <w:spacing w:after="0"/>
              <w:jc w:val="center"/>
              <w:rPr>
                <w:rFonts w:ascii="仿宋" w:hAnsi="仿宋" w:eastAsia="仿宋" w:cs="仿宋"/>
                <w:sz w:val="24"/>
                <w:szCs w:val="24"/>
              </w:rPr>
            </w:pPr>
            <w:r>
              <w:rPr>
                <w:rFonts w:hint="eastAsia" w:ascii="仿宋" w:hAnsi="仿宋" w:eastAsia="仿宋" w:cs="仿宋"/>
                <w:kern w:val="0"/>
                <w:sz w:val="24"/>
                <w:szCs w:val="24"/>
                <w:lang w:val="zh-TW"/>
              </w:rPr>
              <w:t>采购标的名称</w:t>
            </w:r>
          </w:p>
        </w:tc>
        <w:tc>
          <w:tcPr>
            <w:tcW w:w="1569" w:type="dxa"/>
            <w:vAlign w:val="center"/>
          </w:tcPr>
          <w:p>
            <w:pPr>
              <w:jc w:val="center"/>
              <w:rPr>
                <w:rFonts w:ascii="仿宋" w:hAnsi="仿宋" w:eastAsia="仿宋" w:cs="仿宋"/>
                <w:sz w:val="24"/>
                <w:szCs w:val="24"/>
              </w:rPr>
            </w:pPr>
            <w:r>
              <w:rPr>
                <w:rFonts w:hint="eastAsia" w:ascii="仿宋" w:hAnsi="仿宋" w:eastAsia="仿宋" w:cs="仿宋"/>
                <w:kern w:val="0"/>
                <w:sz w:val="24"/>
                <w:szCs w:val="24"/>
                <w:lang w:val="zh-TW" w:eastAsia="zh-TW"/>
              </w:rPr>
              <w:t>生产厂家</w:t>
            </w:r>
          </w:p>
        </w:tc>
        <w:tc>
          <w:tcPr>
            <w:tcW w:w="1569"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val="zh-TW" w:eastAsia="zh-TW"/>
              </w:rPr>
              <w:t>规格型号</w:t>
            </w:r>
          </w:p>
        </w:tc>
        <w:tc>
          <w:tcPr>
            <w:tcW w:w="1569" w:type="dxa"/>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单价</w:t>
            </w:r>
            <w:r>
              <w:rPr>
                <w:rFonts w:hint="eastAsia" w:ascii="仿宋" w:hAnsi="仿宋" w:eastAsia="仿宋" w:cs="仿宋"/>
                <w:kern w:val="0"/>
                <w:sz w:val="24"/>
                <w:szCs w:val="24"/>
                <w:lang w:val="zh-TW"/>
              </w:rPr>
              <w:t>（元）</w:t>
            </w:r>
          </w:p>
        </w:tc>
        <w:tc>
          <w:tcPr>
            <w:tcW w:w="1569" w:type="dxa"/>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数量</w:t>
            </w:r>
          </w:p>
        </w:tc>
        <w:tc>
          <w:tcPr>
            <w:tcW w:w="1569" w:type="dxa"/>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总价</w:t>
            </w:r>
            <w:r>
              <w:rPr>
                <w:rFonts w:hint="eastAsia" w:ascii="仿宋" w:hAnsi="仿宋" w:eastAsia="仿宋" w:cs="仿宋"/>
                <w:kern w:val="0"/>
                <w:sz w:val="24"/>
                <w:szCs w:val="24"/>
                <w:lang w:val="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tcPr>
          <w:p>
            <w:pPr>
              <w:pStyle w:val="2"/>
              <w:spacing w:after="0"/>
              <w:jc w:val="center"/>
              <w:rPr>
                <w:rFonts w:ascii="仿宋" w:hAnsi="仿宋" w:eastAsia="仿宋" w:cs="仿宋"/>
                <w:sz w:val="24"/>
                <w:szCs w:val="24"/>
              </w:rPr>
            </w:pPr>
            <w:r>
              <w:rPr>
                <w:rFonts w:hint="eastAsia" w:ascii="仿宋" w:hAnsi="仿宋" w:eastAsia="仿宋" w:cs="仿宋"/>
                <w:sz w:val="24"/>
                <w:szCs w:val="24"/>
              </w:rPr>
              <w:t>1</w:t>
            </w:r>
          </w:p>
        </w:tc>
        <w:tc>
          <w:tcPr>
            <w:tcW w:w="1764"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tcPr>
          <w:p>
            <w:pPr>
              <w:pStyle w:val="2"/>
              <w:spacing w:after="0"/>
              <w:jc w:val="center"/>
              <w:rPr>
                <w:rFonts w:ascii="仿宋" w:hAnsi="仿宋" w:eastAsia="仿宋" w:cs="仿宋"/>
                <w:sz w:val="24"/>
                <w:szCs w:val="24"/>
              </w:rPr>
            </w:pPr>
            <w:r>
              <w:rPr>
                <w:rFonts w:hint="eastAsia" w:ascii="仿宋" w:hAnsi="仿宋" w:eastAsia="仿宋" w:cs="仿宋"/>
                <w:sz w:val="24"/>
                <w:szCs w:val="24"/>
              </w:rPr>
              <w:t>....</w:t>
            </w:r>
          </w:p>
        </w:tc>
        <w:tc>
          <w:tcPr>
            <w:tcW w:w="1764"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c>
          <w:tcPr>
            <w:tcW w:w="1569" w:type="dxa"/>
          </w:tcPr>
          <w:p>
            <w:pPr>
              <w:pStyle w:val="2"/>
              <w:spacing w:after="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vAlign w:val="center"/>
          </w:tcPr>
          <w:p>
            <w:pPr>
              <w:pStyle w:val="2"/>
              <w:spacing w:after="0"/>
              <w:jc w:val="left"/>
              <w:rPr>
                <w:rFonts w:ascii="仿宋" w:hAnsi="仿宋" w:eastAsia="仿宋" w:cs="仿宋"/>
                <w:sz w:val="24"/>
                <w:szCs w:val="24"/>
              </w:rPr>
            </w:pPr>
            <w:r>
              <w:rPr>
                <w:rFonts w:hint="eastAsia" w:ascii="仿宋" w:hAnsi="仿宋" w:eastAsia="仿宋" w:cs="仿宋"/>
                <w:sz w:val="24"/>
                <w:szCs w:val="24"/>
              </w:rPr>
              <w:t>报价合计</w:t>
            </w:r>
          </w:p>
        </w:tc>
        <w:tc>
          <w:tcPr>
            <w:tcW w:w="9609" w:type="dxa"/>
            <w:gridSpan w:val="6"/>
            <w:vAlign w:val="center"/>
          </w:tcPr>
          <w:p>
            <w:pPr>
              <w:pStyle w:val="2"/>
              <w:spacing w:after="0"/>
              <w:jc w:val="left"/>
              <w:rPr>
                <w:rFonts w:ascii="仿宋" w:hAnsi="仿宋" w:eastAsia="仿宋" w:cs="仿宋"/>
                <w:sz w:val="24"/>
                <w:szCs w:val="24"/>
              </w:rPr>
            </w:pPr>
            <w:r>
              <w:rPr>
                <w:rFonts w:hint="eastAsia" w:ascii="仿宋" w:hAnsi="仿宋" w:eastAsia="仿宋" w:cs="仿宋"/>
                <w:sz w:val="24"/>
                <w:szCs w:val="24"/>
              </w:rPr>
              <w:t>大写：       小写：</w:t>
            </w:r>
          </w:p>
        </w:tc>
      </w:tr>
    </w:tbl>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7" w:type="default"/>
          <w:pgSz w:w="11900" w:h="16840"/>
          <w:pgMar w:top="851" w:right="567" w:bottom="1134" w:left="567" w:header="0" w:footer="567" w:gutter="0"/>
          <w:cols w:space="720" w:num="1"/>
        </w:sectPr>
      </w:pPr>
      <w:r>
        <w:rPr>
          <w:rFonts w:hint="eastAsia" w:ascii="仿宋" w:hAnsi="仿宋" w:eastAsia="仿宋" w:cs="仿宋"/>
          <w:sz w:val="24"/>
          <w:szCs w:val="24"/>
          <w:lang w:val="zh-TW" w:eastAsia="zh-TW"/>
        </w:rPr>
        <w:t>年月日</w:t>
      </w:r>
    </w:p>
    <w:p>
      <w:pPr>
        <w:numPr>
          <w:ilvl w:val="0"/>
          <w:numId w:val="7"/>
        </w:numPr>
        <w:spacing w:line="700" w:lineRule="exact"/>
        <w:jc w:val="center"/>
        <w:outlineLvl w:val="1"/>
        <w:rPr>
          <w:rStyle w:val="30"/>
          <w:rFonts w:ascii="仿宋" w:hAnsi="仿宋" w:eastAsia="仿宋" w:cs="仿宋"/>
          <w:b/>
          <w:bCs/>
          <w:sz w:val="32"/>
          <w:szCs w:val="28"/>
        </w:rPr>
      </w:pPr>
      <w:bookmarkStart w:id="90" w:name="_Toc14685"/>
      <w:bookmarkStart w:id="91" w:name="_Toc29032"/>
      <w:bookmarkStart w:id="92" w:name="_Toc30002"/>
      <w:r>
        <w:rPr>
          <w:rStyle w:val="30"/>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2"/>
        <w:jc w:val="center"/>
        <w:outlineLvl w:val="0"/>
        <w:rPr>
          <w:rFonts w:ascii="仿宋" w:hAnsi="仿宋" w:eastAsia="仿宋" w:cs="仿宋"/>
          <w:kern w:val="0"/>
          <w:sz w:val="32"/>
          <w:szCs w:val="32"/>
        </w:rPr>
      </w:pPr>
      <w:r>
        <w:rPr>
          <w:rStyle w:val="31"/>
          <w:rFonts w:hint="eastAsia" w:ascii="仿宋" w:hAnsi="仿宋" w:eastAsia="仿宋" w:cs="仿宋"/>
          <w:b/>
          <w:bCs/>
          <w:sz w:val="32"/>
          <w:szCs w:val="32"/>
        </w:rPr>
        <w:br w:type="page"/>
      </w:r>
      <w:bookmarkStart w:id="93" w:name="_Toc7942"/>
      <w:bookmarkStart w:id="94" w:name="_Toc20691"/>
      <w:bookmarkStart w:id="95" w:name="_Toc5447"/>
      <w:r>
        <w:rPr>
          <w:rFonts w:hint="eastAsia" w:ascii="黑体" w:hAnsi="黑体" w:eastAsia="黑体" w:cs="黑体"/>
          <w:b/>
          <w:sz w:val="36"/>
          <w:szCs w:val="32"/>
        </w:rPr>
        <w:t>第七章 合同条款（仅中选后使用）</w:t>
      </w:r>
      <w:bookmarkEnd w:id="93"/>
      <w:bookmarkEnd w:id="94"/>
      <w:bookmarkEnd w:id="95"/>
    </w:p>
    <w:p>
      <w:pPr>
        <w:pStyle w:val="2"/>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pStyle w:val="13"/>
        <w:spacing w:line="360" w:lineRule="auto"/>
        <w:jc w:val="left"/>
        <w:rPr>
          <w:rFonts w:ascii="仿宋" w:hAnsi="仿宋" w:eastAsia="仿宋" w:cs="仿宋"/>
          <w:sz w:val="16"/>
          <w:szCs w:val="20"/>
        </w:rPr>
      </w:pPr>
      <w:r>
        <w:rPr>
          <w:rFonts w:hint="eastAsia" w:ascii="仿宋" w:hAnsi="仿宋" w:eastAsia="仿宋" w:cs="仿宋"/>
          <w:sz w:val="22"/>
        </w:rPr>
        <w:t>合同编号：CGZX2021XXXX·</w:t>
      </w:r>
    </w:p>
    <w:p>
      <w:pPr>
        <w:jc w:val="center"/>
        <w:rPr>
          <w:rFonts w:ascii="仿宋" w:hAnsi="仿宋" w:eastAsia="仿宋" w:cs="仿宋"/>
          <w:sz w:val="52"/>
          <w:szCs w:val="52"/>
        </w:rPr>
      </w:pPr>
      <w:permStart w:id="0" w:edGrp="everyone"/>
      <w:r>
        <w:rPr>
          <w:rFonts w:hint="eastAsia" w:ascii="仿宋" w:hAnsi="仿宋" w:eastAsia="仿宋" w:cs="仿宋"/>
          <w:sz w:val="52"/>
          <w:szCs w:val="52"/>
        </w:rPr>
        <w:t>***</w:t>
      </w:r>
      <w:permEnd w:id="0"/>
      <w:r>
        <w:rPr>
          <w:rFonts w:hint="eastAsia" w:ascii="仿宋" w:hAnsi="仿宋" w:eastAsia="仿宋" w:cs="仿宋"/>
          <w:sz w:val="52"/>
          <w:szCs w:val="52"/>
        </w:rPr>
        <w:t>采购合同</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采购人（以下简称甲方）：四川省人民医院</w:t>
      </w:r>
    </w:p>
    <w:p>
      <w:pPr>
        <w:spacing w:line="360" w:lineRule="auto"/>
        <w:rPr>
          <w:rFonts w:ascii="仿宋" w:hAnsi="仿宋" w:eastAsia="仿宋" w:cs="仿宋"/>
          <w:sz w:val="24"/>
        </w:rPr>
      </w:pPr>
      <w:r>
        <w:rPr>
          <w:rFonts w:hint="eastAsia" w:ascii="仿宋" w:hAnsi="仿宋" w:eastAsia="仿宋" w:cs="仿宋"/>
          <w:sz w:val="24"/>
        </w:rPr>
        <w:t>地址：四川省成都市一环路西二段32号</w:t>
      </w:r>
    </w:p>
    <w:p>
      <w:pPr>
        <w:spacing w:line="360" w:lineRule="auto"/>
        <w:rPr>
          <w:rFonts w:ascii="仿宋" w:hAnsi="仿宋" w:eastAsia="仿宋" w:cs="仿宋"/>
          <w:sz w:val="24"/>
        </w:rPr>
      </w:pPr>
      <w:r>
        <w:rPr>
          <w:rFonts w:hint="eastAsia" w:ascii="仿宋" w:hAnsi="仿宋" w:eastAsia="仿宋" w:cs="仿宋"/>
          <w:sz w:val="24"/>
        </w:rPr>
        <w:t>电话：028-8739***</w:t>
      </w:r>
    </w:p>
    <w:p>
      <w:pPr>
        <w:spacing w:line="360" w:lineRule="auto"/>
        <w:rPr>
          <w:rFonts w:ascii="仿宋" w:hAnsi="仿宋" w:eastAsia="仿宋" w:cs="仿宋"/>
          <w:sz w:val="24"/>
        </w:rPr>
      </w:pPr>
      <w:r>
        <w:rPr>
          <w:rFonts w:hint="eastAsia" w:ascii="仿宋" w:hAnsi="仿宋" w:eastAsia="仿宋" w:cs="仿宋"/>
          <w:sz w:val="24"/>
        </w:rPr>
        <w:t>联系人：***</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供应商（以下简称乙方）：***</w:t>
      </w:r>
    </w:p>
    <w:p>
      <w:pPr>
        <w:spacing w:line="360" w:lineRule="auto"/>
        <w:rPr>
          <w:rFonts w:ascii="仿宋" w:hAnsi="仿宋" w:eastAsia="仿宋" w:cs="仿宋"/>
          <w:sz w:val="24"/>
        </w:rPr>
      </w:pPr>
      <w:r>
        <w:rPr>
          <w:rFonts w:hint="eastAsia" w:ascii="仿宋" w:hAnsi="仿宋" w:eastAsia="仿宋" w:cs="仿宋"/>
          <w:sz w:val="24"/>
        </w:rPr>
        <w:t>地址：***</w:t>
      </w:r>
    </w:p>
    <w:p>
      <w:pPr>
        <w:spacing w:line="360" w:lineRule="auto"/>
        <w:rPr>
          <w:rFonts w:ascii="仿宋" w:hAnsi="仿宋" w:eastAsia="仿宋" w:cs="仿宋"/>
          <w:sz w:val="24"/>
        </w:rPr>
      </w:pPr>
      <w:r>
        <w:rPr>
          <w:rFonts w:hint="eastAsia" w:ascii="仿宋" w:hAnsi="仿宋" w:eastAsia="仿宋" w:cs="仿宋"/>
          <w:sz w:val="24"/>
        </w:rPr>
        <w:t>移动电话：***</w:t>
      </w:r>
    </w:p>
    <w:p>
      <w:pPr>
        <w:spacing w:line="360" w:lineRule="auto"/>
        <w:rPr>
          <w:rFonts w:ascii="仿宋" w:hAnsi="仿宋" w:eastAsia="仿宋" w:cs="仿宋"/>
          <w:sz w:val="24"/>
        </w:rPr>
      </w:pPr>
      <w:r>
        <w:rPr>
          <w:rFonts w:hint="eastAsia" w:ascii="仿宋" w:hAnsi="仿宋" w:eastAsia="仿宋" w:cs="仿宋"/>
          <w:sz w:val="24"/>
        </w:rPr>
        <w:t>联系人：***</w:t>
      </w:r>
    </w:p>
    <w:p>
      <w:pPr>
        <w:spacing w:line="360" w:lineRule="auto"/>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根据《中华人民共和国民法典》等法律法规及四川省人民医院</w:t>
      </w:r>
      <w:permStart w:id="1" w:edGrp="everyone"/>
      <w:r>
        <w:rPr>
          <w:rFonts w:hint="eastAsia" w:ascii="仿宋" w:hAnsi="仿宋" w:eastAsia="仿宋" w:cs="仿宋"/>
          <w:b/>
          <w:bCs/>
          <w:color w:val="FF0000"/>
          <w:sz w:val="28"/>
          <w:szCs w:val="28"/>
          <w:u w:val="single"/>
        </w:rPr>
        <w:t xml:space="preserve">          项目</w:t>
      </w:r>
      <w:permEnd w:id="1"/>
      <w:r>
        <w:rPr>
          <w:rFonts w:hint="eastAsia" w:ascii="仿宋" w:hAnsi="仿宋" w:eastAsia="仿宋" w:cs="仿宋"/>
          <w:sz w:val="24"/>
          <w:szCs w:val="21"/>
        </w:rPr>
        <w:t>的相关采购文件，甲方向乙方采购如下货物。详细技术说明及其他有关合同项目的特定信息由合同附件予以说明，合同附件及本项目的相关采购文件均为本合同不可分割的部分,与本合同具有同等法律效力。双方同意就采购事项签订如下条款以兹共同遵守：</w:t>
      </w:r>
    </w:p>
    <w:p>
      <w:pPr>
        <w:tabs>
          <w:tab w:val="left" w:pos="426"/>
          <w:tab w:val="left" w:pos="567"/>
        </w:tabs>
        <w:spacing w:line="360" w:lineRule="auto"/>
        <w:rPr>
          <w:rFonts w:ascii="仿宋" w:hAnsi="仿宋" w:eastAsia="仿宋" w:cs="仿宋"/>
        </w:rPr>
      </w:pPr>
      <w:r>
        <w:rPr>
          <w:rFonts w:hint="eastAsia" w:ascii="仿宋" w:hAnsi="仿宋" w:eastAsia="仿宋" w:cs="仿宋"/>
        </w:rPr>
        <w:t>一、货物内容</w:t>
      </w:r>
    </w:p>
    <w:tbl>
      <w:tblPr>
        <w:tblStyle w:val="18"/>
        <w:tblW w:w="93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770"/>
        <w:gridCol w:w="770"/>
        <w:gridCol w:w="677"/>
        <w:gridCol w:w="846"/>
        <w:gridCol w:w="1016"/>
        <w:gridCol w:w="1114"/>
        <w:gridCol w:w="1185"/>
        <w:gridCol w:w="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rPr>
                <w:rFonts w:ascii="仿宋" w:hAnsi="仿宋" w:eastAsia="仿宋" w:cs="仿宋"/>
              </w:rPr>
            </w:pPr>
            <w:r>
              <w:rPr>
                <w:rFonts w:hint="eastAsia" w:ascii="仿宋" w:hAnsi="仿宋" w:eastAsia="仿宋" w:cs="仿宋"/>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品牌</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产地</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规格</w:t>
            </w:r>
          </w:p>
          <w:p>
            <w:pPr>
              <w:adjustRightInd w:val="0"/>
              <w:snapToGrid w:val="0"/>
              <w:spacing w:line="360" w:lineRule="auto"/>
              <w:jc w:val="center"/>
              <w:rPr>
                <w:rFonts w:ascii="仿宋" w:hAnsi="仿宋" w:eastAsia="仿宋" w:cs="仿宋"/>
              </w:rPr>
            </w:pPr>
            <w:r>
              <w:rPr>
                <w:rFonts w:hint="eastAsia" w:ascii="仿宋" w:hAnsi="仿宋" w:eastAsia="仿宋" w:cs="仿宋"/>
              </w:rPr>
              <w:t>型号</w:t>
            </w:r>
          </w:p>
        </w:tc>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单位</w:t>
            </w: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05" w:firstLineChars="50"/>
              <w:rPr>
                <w:rFonts w:ascii="仿宋" w:hAnsi="仿宋" w:eastAsia="仿宋" w:cs="仿宋"/>
              </w:rPr>
            </w:pPr>
            <w:r>
              <w:rPr>
                <w:rFonts w:hint="eastAsia" w:ascii="仿宋" w:hAnsi="仿宋" w:eastAsia="仿宋" w:cs="仿宋"/>
              </w:rPr>
              <w:t>数量</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05" w:firstLineChars="50"/>
              <w:jc w:val="center"/>
              <w:rPr>
                <w:rFonts w:ascii="仿宋" w:hAnsi="仿宋" w:eastAsia="仿宋" w:cs="仿宋"/>
              </w:rPr>
            </w:pPr>
            <w:r>
              <w:rPr>
                <w:rFonts w:hint="eastAsia" w:ascii="仿宋" w:hAnsi="仿宋" w:eastAsia="仿宋" w:cs="仿宋"/>
              </w:rPr>
              <w:t>单价</w:t>
            </w:r>
          </w:p>
          <w:p>
            <w:pPr>
              <w:adjustRightInd w:val="0"/>
              <w:snapToGrid w:val="0"/>
              <w:spacing w:line="360" w:lineRule="auto"/>
              <w:jc w:val="center"/>
              <w:rPr>
                <w:rFonts w:ascii="仿宋" w:hAnsi="仿宋" w:eastAsia="仿宋" w:cs="仿宋"/>
              </w:rPr>
            </w:pPr>
            <w:r>
              <w:rPr>
                <w:rFonts w:hint="eastAsia" w:ascii="仿宋" w:hAnsi="仿宋" w:eastAsia="仿宋" w:cs="仿宋"/>
              </w:rPr>
              <w:t xml:space="preserve"> （元）</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rPr>
                <w:rFonts w:ascii="仿宋" w:hAnsi="仿宋" w:eastAsia="仿宋" w:cs="仿宋"/>
              </w:rPr>
            </w:pPr>
            <w:r>
              <w:rPr>
                <w:rFonts w:hint="eastAsia" w:ascii="仿宋" w:hAnsi="仿宋" w:eastAsia="仿宋" w:cs="仿宋"/>
              </w:rPr>
              <w:t>总价</w:t>
            </w:r>
          </w:p>
          <w:p>
            <w:pPr>
              <w:adjustRightInd w:val="0"/>
              <w:snapToGrid w:val="0"/>
              <w:spacing w:line="360" w:lineRule="auto"/>
              <w:rPr>
                <w:rFonts w:ascii="仿宋" w:hAnsi="仿宋" w:eastAsia="仿宋" w:cs="仿宋"/>
              </w:rPr>
            </w:pPr>
            <w:r>
              <w:rPr>
                <w:rFonts w:hint="eastAsia" w:ascii="仿宋" w:hAnsi="仿宋" w:eastAsia="仿宋" w:cs="仿宋"/>
              </w:rPr>
              <w:t xml:space="preserve">  （元）</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随机</w:t>
            </w:r>
          </w:p>
          <w:p>
            <w:pPr>
              <w:adjustRightInd w:val="0"/>
              <w:snapToGrid w:val="0"/>
              <w:spacing w:line="360" w:lineRule="auto"/>
              <w:jc w:val="center"/>
              <w:rPr>
                <w:rFonts w:ascii="仿宋" w:hAnsi="仿宋" w:eastAsia="仿宋" w:cs="仿宋"/>
              </w:rPr>
            </w:pPr>
            <w:r>
              <w:rPr>
                <w:rFonts w:hint="eastAsia" w:ascii="仿宋" w:hAnsi="仿宋" w:eastAsia="仿宋" w:cs="仿宋"/>
              </w:rPr>
              <w:t>配件</w:t>
            </w: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u w:val="single"/>
              </w:rPr>
            </w:pPr>
            <w:permStart w:id="2" w:edGrp="everyone"/>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u w:val="single"/>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r>
              <w:rPr>
                <w:rFonts w:hint="eastAsia" w:ascii="仿宋" w:hAnsi="仿宋" w:eastAsia="仿宋" w:cs="仿宋"/>
              </w:rPr>
              <w:t> </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r>
      <w:permEnd w:id="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permStart w:id="3" w:edGrp="everyone"/>
            <w:r>
              <w:rPr>
                <w:rFonts w:hint="eastAsia" w:ascii="仿宋" w:hAnsi="仿宋" w:eastAsia="仿宋" w:cs="仿宋"/>
              </w:rPr>
              <w:t>技术参数</w:t>
            </w:r>
          </w:p>
          <w:p>
            <w:pPr>
              <w:adjustRightInd w:val="0"/>
              <w:snapToGrid w:val="0"/>
              <w:spacing w:line="360" w:lineRule="auto"/>
              <w:jc w:val="center"/>
              <w:rPr>
                <w:rFonts w:ascii="仿宋" w:hAnsi="仿宋" w:eastAsia="仿宋" w:cs="仿宋"/>
              </w:rPr>
            </w:pPr>
            <w:r>
              <w:rPr>
                <w:rFonts w:hint="eastAsia" w:ascii="仿宋" w:hAnsi="仿宋" w:eastAsia="仿宋" w:cs="仿宋"/>
              </w:rPr>
              <w:t>（可另附附件）</w:t>
            </w:r>
          </w:p>
        </w:tc>
        <w:tc>
          <w:tcPr>
            <w:tcW w:w="761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r>
      <w:permEnd w:id="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bCs/>
                <w:u w:val="single"/>
              </w:rPr>
            </w:pPr>
            <w:r>
              <w:rPr>
                <w:rFonts w:hint="eastAsia" w:ascii="仿宋" w:hAnsi="仿宋" w:eastAsia="仿宋" w:cs="仿宋"/>
              </w:rPr>
              <w:t>供货期</w:t>
            </w:r>
          </w:p>
        </w:tc>
        <w:tc>
          <w:tcPr>
            <w:tcW w:w="761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b/>
                <w:bCs/>
                <w:u w:val="single"/>
              </w:rPr>
            </w:pPr>
            <w:r>
              <w:rPr>
                <w:rFonts w:hint="eastAsia" w:ascii="仿宋" w:hAnsi="仿宋" w:eastAsia="仿宋" w:cs="仿宋"/>
              </w:rPr>
              <w:t>合同签订生效之日起</w:t>
            </w:r>
            <w:permStart w:id="4" w:edGrp="everyone"/>
            <w:permEnd w:id="4"/>
            <w:r>
              <w:rPr>
                <w:rFonts w:hint="eastAsia" w:ascii="仿宋" w:hAnsi="仿宋" w:eastAsia="仿宋" w:cs="仿宋"/>
              </w:rPr>
              <w:t>日历天。</w:t>
            </w:r>
          </w:p>
        </w:tc>
      </w:tr>
    </w:tbl>
    <w:p>
      <w:pPr>
        <w:tabs>
          <w:tab w:val="left" w:pos="426"/>
          <w:tab w:val="left" w:pos="567"/>
        </w:tabs>
        <w:spacing w:line="360" w:lineRule="auto"/>
        <w:rPr>
          <w:rFonts w:ascii="仿宋" w:hAnsi="仿宋" w:eastAsia="仿宋" w:cs="仿宋"/>
        </w:rPr>
      </w:pPr>
      <w:r>
        <w:rPr>
          <w:rFonts w:hint="eastAsia" w:ascii="仿宋" w:hAnsi="仿宋" w:eastAsia="仿宋" w:cs="仿宋"/>
        </w:rPr>
        <w:t>二、合同总价</w:t>
      </w:r>
    </w:p>
    <w:p>
      <w:pPr>
        <w:spacing w:line="360" w:lineRule="auto"/>
        <w:ind w:firstLine="480"/>
        <w:rPr>
          <w:rFonts w:ascii="仿宋" w:hAnsi="仿宋" w:eastAsia="仿宋" w:cs="仿宋"/>
          <w:sz w:val="24"/>
        </w:rPr>
      </w:pPr>
      <w:r>
        <w:rPr>
          <w:rFonts w:hint="eastAsia" w:ascii="仿宋" w:hAnsi="仿宋" w:eastAsia="仿宋" w:cs="仿宋"/>
          <w:sz w:val="24"/>
        </w:rPr>
        <w:t xml:space="preserve">合同总价（含税）为人民币 </w:t>
      </w:r>
      <w:permStart w:id="5" w:edGrp="everyone"/>
      <w:r>
        <w:rPr>
          <w:rFonts w:hint="eastAsia" w:ascii="仿宋" w:hAnsi="仿宋" w:eastAsia="仿宋" w:cs="仿宋"/>
          <w:sz w:val="24"/>
          <w:u w:val="single"/>
        </w:rPr>
        <w:t>***</w:t>
      </w:r>
      <w:permEnd w:id="5"/>
      <w:r>
        <w:rPr>
          <w:rFonts w:hint="eastAsia" w:ascii="仿宋" w:hAnsi="仿宋" w:eastAsia="仿宋" w:cs="仿宋"/>
          <w:sz w:val="24"/>
        </w:rPr>
        <w:t xml:space="preserve"> 元，大写：</w:t>
      </w:r>
      <w:permStart w:id="6" w:edGrp="everyone"/>
      <w:r>
        <w:rPr>
          <w:rFonts w:hint="eastAsia" w:ascii="仿宋" w:hAnsi="仿宋" w:eastAsia="仿宋" w:cs="仿宋"/>
          <w:sz w:val="24"/>
          <w:u w:val="single"/>
        </w:rPr>
        <w:t>***</w:t>
      </w:r>
      <w:permEnd w:id="6"/>
      <w:r>
        <w:rPr>
          <w:rFonts w:hint="eastAsia" w:ascii="仿宋" w:hAnsi="仿宋" w:eastAsia="仿宋" w:cs="仿宋"/>
          <w:sz w:val="24"/>
        </w:rPr>
        <w:t xml:space="preserve"> 圆整；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426"/>
          <w:tab w:val="left" w:pos="567"/>
        </w:tabs>
        <w:spacing w:line="360" w:lineRule="auto"/>
        <w:rPr>
          <w:rFonts w:ascii="仿宋" w:hAnsi="仿宋" w:eastAsia="仿宋" w:cs="仿宋"/>
        </w:rPr>
      </w:pPr>
      <w:r>
        <w:rPr>
          <w:rFonts w:hint="eastAsia" w:ascii="仿宋" w:hAnsi="仿宋" w:eastAsia="仿宋" w:cs="仿宋"/>
        </w:rPr>
        <w:t>三、质量要求</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1、乙方应保证所供货物</w:t>
      </w:r>
      <w:r>
        <w:rPr>
          <w:rFonts w:hint="eastAsia" w:ascii="仿宋" w:hAnsi="仿宋" w:eastAsia="仿宋" w:cs="仿宋"/>
          <w:sz w:val="24"/>
        </w:rPr>
        <w:t>（含零部件、配件等）</w:t>
      </w:r>
      <w:r>
        <w:rPr>
          <w:rFonts w:hint="eastAsia" w:ascii="仿宋" w:hAnsi="仿宋" w:eastAsia="仿宋" w:cs="仿宋"/>
          <w:sz w:val="24"/>
          <w:szCs w:val="21"/>
        </w:rPr>
        <w:t>是全新的、未使用过的，标识清楚，权属清楚，原产地真实，必须符合或优于国家（行业）标准，并完全符合相关采购文件规定的质量、规格和性能的要求，不得以假充真，以次充好。乙方应保证其货物在正确安装、正常使用和保养条件下，在其使用寿命期内应具有满意的性能。</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2、在货物验收后的使用中，有证据证明该货物存在重大的设计、工艺或材料缺陷,包括潜在缺陷的，乙方应当对由于上述缺陷造成的故障负责，甲方有权据此提出退货、退款和/或相应的损失赔偿。</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3、如因货物质量问题导致甲方无法正常使用或影响使用效果，由此与患者发生纠纷而导致甲方赔偿，乙方对此承担全部责任。</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4、货到现场后由于甲方保管不当造成的质量问题，乙方亦应负责修理，但费用由甲方负担。</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乙方保证所供货物（及其配件等）均取得了国家卫生、医药行政部门的合法批文（若国家法律法规需要），若甲方在使用过程中由此遭受行政处罚，则乙方对此承担全部责任（包括退款、更换设备等责任）并双倍赔偿甲方遭受的行政处罚损失。</w:t>
      </w:r>
    </w:p>
    <w:p>
      <w:pPr>
        <w:tabs>
          <w:tab w:val="left" w:pos="426"/>
          <w:tab w:val="left" w:pos="567"/>
        </w:tabs>
        <w:spacing w:line="360" w:lineRule="auto"/>
        <w:rPr>
          <w:rFonts w:ascii="仿宋" w:hAnsi="仿宋" w:eastAsia="仿宋" w:cs="仿宋"/>
        </w:rPr>
      </w:pPr>
      <w:r>
        <w:rPr>
          <w:rFonts w:hint="eastAsia" w:ascii="仿宋" w:hAnsi="仿宋" w:eastAsia="仿宋" w:cs="仿宋"/>
        </w:rPr>
        <w:t>四、主体资格及知识产权承诺</w:t>
      </w:r>
    </w:p>
    <w:p>
      <w:pPr>
        <w:tabs>
          <w:tab w:val="left" w:pos="426"/>
          <w:tab w:val="left" w:pos="567"/>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主体资格：乙方应保证其对所供货物拥有完全的所有权或已得到所有者充分的销售授权，并确保向甲方提供的所有资质文件真实有效。若发生授权资质产生变更、授权时限临近等影响供货的情况，应立即通知甲方并提供相应证明文件，双方协商解决后续事宜。</w:t>
      </w:r>
    </w:p>
    <w:p>
      <w:pPr>
        <w:tabs>
          <w:tab w:val="left" w:pos="426"/>
          <w:tab w:val="left" w:pos="567"/>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知识产权：乙方必须保证，甲方在中华人民共和国境内使用货物或者货物的某一部分时，如有第三方向甲方提出侵犯其专利权、商标权或其他知识产权的主张，由此造成的一切责任由乙方承担。乙方报价包含向所有权人支付的专利权、商标权或其他知识产权的有关费用及税费。</w:t>
      </w:r>
    </w:p>
    <w:p>
      <w:pPr>
        <w:tabs>
          <w:tab w:val="left" w:pos="426"/>
          <w:tab w:val="left" w:pos="567"/>
        </w:tabs>
        <w:spacing w:line="360" w:lineRule="auto"/>
        <w:rPr>
          <w:rFonts w:ascii="仿宋" w:hAnsi="仿宋" w:eastAsia="仿宋" w:cs="仿宋"/>
          <w:sz w:val="24"/>
          <w:szCs w:val="21"/>
        </w:rPr>
      </w:pPr>
      <w:r>
        <w:rPr>
          <w:rFonts w:hint="eastAsia" w:ascii="仿宋" w:hAnsi="仿宋" w:eastAsia="仿宋" w:cs="仿宋"/>
        </w:rPr>
        <w:t>五、供货期及验收</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1、交货时间：自本合同签订之日起</w:t>
      </w:r>
      <w:permStart w:id="7" w:edGrp="everyone"/>
      <w:r>
        <w:rPr>
          <w:rFonts w:hint="eastAsia" w:ascii="仿宋" w:hAnsi="仿宋" w:eastAsia="仿宋" w:cs="仿宋"/>
          <w:sz w:val="24"/>
          <w:szCs w:val="21"/>
          <w:u w:val="single"/>
        </w:rPr>
        <w:t>****</w:t>
      </w:r>
      <w:permEnd w:id="7"/>
      <w:r>
        <w:rPr>
          <w:rFonts w:hint="eastAsia" w:ascii="仿宋" w:hAnsi="仿宋" w:eastAsia="仿宋" w:cs="仿宋"/>
          <w:sz w:val="24"/>
          <w:szCs w:val="21"/>
        </w:rPr>
        <w:t>日内由乙方送货至甲方指定地点，乙方负责安装调试达到正常使用。如安装工作涉及隐蔽部件安装的，应在隐蔽性安装前通知甲方到场清点。</w:t>
      </w:r>
      <w:r>
        <w:rPr>
          <w:rFonts w:hint="eastAsia" w:ascii="仿宋" w:hAnsi="仿宋" w:eastAsia="仿宋" w:cs="仿宋"/>
          <w:sz w:val="24"/>
        </w:rPr>
        <w:t>货物验收合格前，毁损灭失的风险由乙方承担。</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2、验收前，乙方应完成对甲方的操作人员、技术人员进行免费培训，保证受训人员能熟练操作，具备开展日常技术工作的能力，并能够对该货物能进行日常维护。</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3、验收标准：按国家有关规定以及甲方采购文件的质量要求和技术指标、乙方的响应文件及承诺与本合同约定标准进行验收；</w:t>
      </w:r>
    </w:p>
    <w:p>
      <w:pPr>
        <w:spacing w:line="360" w:lineRule="auto"/>
        <w:ind w:firstLine="480" w:firstLineChars="200"/>
        <w:rPr>
          <w:rFonts w:ascii="仿宋" w:hAnsi="仿宋" w:eastAsia="仿宋" w:cs="仿宋"/>
          <w:sz w:val="24"/>
        </w:rPr>
      </w:pPr>
      <w:r>
        <w:rPr>
          <w:rFonts w:hint="eastAsia" w:ascii="仿宋" w:hAnsi="仿宋" w:eastAsia="仿宋" w:cs="仿宋"/>
          <w:sz w:val="24"/>
          <w:szCs w:val="21"/>
        </w:rPr>
        <w:t>4、</w:t>
      </w:r>
      <w:r>
        <w:rPr>
          <w:rFonts w:hint="eastAsia" w:ascii="仿宋" w:hAnsi="仿宋" w:eastAsia="仿宋" w:cs="仿宋"/>
          <w:sz w:val="24"/>
        </w:rPr>
        <w:t>交货验收时乙方须提供产品质检部门从同类产品中抽样检查合格的检测报告，每台货物上均应有产品质量检验合格标志。乙方还应当在甲方验收时将所提供货物的装箱清单、配件、随机工具、用户使用手册、原厂保修卡等资料交付给甲方；乙方不能完整交付货物及本款规定的单证和工具的，必须负责补齐，否则视为未按合同约定交货。进口设备需提供商检证明及按照现行法律规定需要提供的其他证明。</w:t>
      </w:r>
    </w:p>
    <w:p>
      <w:pPr>
        <w:spacing w:line="360" w:lineRule="auto"/>
        <w:ind w:firstLine="480" w:firstLineChars="200"/>
        <w:rPr>
          <w:rFonts w:ascii="仿宋" w:hAnsi="仿宋" w:eastAsia="仿宋" w:cs="仿宋"/>
          <w:sz w:val="24"/>
        </w:rPr>
      </w:pPr>
      <w:r>
        <w:rPr>
          <w:rFonts w:hint="eastAsia" w:ascii="仿宋" w:hAnsi="仿宋" w:eastAsia="仿宋" w:cs="仿宋"/>
          <w:sz w:val="24"/>
        </w:rPr>
        <w:t>5、验收时如发现所交付的货物有短装、次品、损坏或其它不符合标准及本合同规定之情形，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仿宋" w:hAnsi="仿宋" w:eastAsia="仿宋" w:cs="仿宋"/>
          <w:sz w:val="24"/>
        </w:rPr>
      </w:pPr>
      <w:r>
        <w:rPr>
          <w:rFonts w:hint="eastAsia" w:ascii="仿宋" w:hAnsi="仿宋" w:eastAsia="仿宋" w:cs="仿宋"/>
          <w:sz w:val="24"/>
        </w:rPr>
        <w:t>6、如质量验收合格，双方签署质量验收报告，合同货物质保期自甲方签署验收文件之日起计算。如乙方所供货物不符合本条要求，甲方有权拒签验收合格证明，有权要求乙方无条件更换、补齐，乙方应在交货时间内提供符合上述要求的货物。如果未能补齐的，视为逾期交货或经1次调换仍不能达到合同约定的质量要求，乙方按照合同第八条第2款承担违约责任。</w:t>
      </w:r>
    </w:p>
    <w:p>
      <w:pPr>
        <w:tabs>
          <w:tab w:val="left" w:pos="426"/>
          <w:tab w:val="left" w:pos="567"/>
        </w:tabs>
        <w:spacing w:line="360" w:lineRule="auto"/>
        <w:rPr>
          <w:rFonts w:ascii="仿宋" w:hAnsi="仿宋" w:eastAsia="仿宋" w:cs="仿宋"/>
        </w:rPr>
      </w:pPr>
      <w:r>
        <w:rPr>
          <w:rFonts w:hint="eastAsia" w:ascii="仿宋" w:hAnsi="仿宋" w:eastAsia="仿宋" w:cs="仿宋"/>
        </w:rPr>
        <w:t>六、支付条款</w:t>
      </w:r>
    </w:p>
    <w:p>
      <w:pPr>
        <w:spacing w:line="360" w:lineRule="auto"/>
        <w:ind w:firstLine="480" w:firstLineChars="200"/>
        <w:rPr>
          <w:rFonts w:ascii="仿宋" w:hAnsi="仿宋" w:eastAsia="仿宋" w:cs="仿宋"/>
          <w:sz w:val="24"/>
        </w:rPr>
      </w:pPr>
      <w:r>
        <w:rPr>
          <w:rFonts w:hint="eastAsia" w:ascii="仿宋" w:hAnsi="仿宋" w:eastAsia="仿宋" w:cs="仿宋"/>
          <w:sz w:val="24"/>
        </w:rPr>
        <w:t>1、本合同以人民币付款。</w:t>
      </w:r>
    </w:p>
    <w:p>
      <w:pPr>
        <w:pStyle w:val="10"/>
        <w:spacing w:after="0" w:line="360" w:lineRule="auto"/>
        <w:ind w:left="0" w:leftChars="0" w:firstLine="480" w:firstLineChars="200"/>
        <w:rPr>
          <w:rFonts w:ascii="仿宋" w:hAnsi="仿宋" w:eastAsia="仿宋" w:cs="仿宋"/>
          <w:sz w:val="24"/>
        </w:rPr>
      </w:pPr>
      <w:r>
        <w:rPr>
          <w:rFonts w:hint="eastAsia" w:ascii="仿宋" w:hAnsi="仿宋" w:eastAsia="仿宋" w:cs="仿宋"/>
          <w:sz w:val="24"/>
        </w:rPr>
        <w:t>2、全部货物安装调试完毕并验收合格之日起，乙方5日内向甲方提交请款申请和发票，甲方接到乙方请款申请与发票以后的55日内，向乙方支付合同总价100%的货款。</w:t>
      </w:r>
    </w:p>
    <w:p>
      <w:pPr>
        <w:tabs>
          <w:tab w:val="left" w:pos="426"/>
          <w:tab w:val="left" w:pos="567"/>
        </w:tabs>
        <w:spacing w:line="360" w:lineRule="auto"/>
        <w:rPr>
          <w:rFonts w:ascii="仿宋" w:hAnsi="仿宋" w:eastAsia="仿宋" w:cs="仿宋"/>
        </w:rPr>
      </w:pPr>
      <w:r>
        <w:rPr>
          <w:rFonts w:hint="eastAsia" w:ascii="仿宋" w:hAnsi="仿宋" w:eastAsia="仿宋" w:cs="仿宋"/>
        </w:rPr>
        <w:t>七、售后服务：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1、质保期为验收合格后</w:t>
      </w:r>
      <w:permStart w:id="8" w:edGrp="everyone"/>
      <w:permEnd w:id="8"/>
      <w:r>
        <w:rPr>
          <w:rFonts w:hint="eastAsia" w:ascii="仿宋" w:hAnsi="仿宋" w:eastAsia="仿宋" w:cs="仿宋"/>
          <w:sz w:val="24"/>
        </w:rPr>
        <w:t xml:space="preserve">年（含整机所有部件），质保期内出现质量问题，乙方在接到通知后 </w:t>
      </w:r>
      <w:permStart w:id="9" w:edGrp="everyone"/>
      <w:r>
        <w:rPr>
          <w:rFonts w:hint="eastAsia" w:ascii="仿宋" w:hAnsi="仿宋" w:eastAsia="仿宋" w:cs="仿宋"/>
          <w:sz w:val="24"/>
          <w:u w:val="single"/>
        </w:rPr>
        <w:t>***</w:t>
      </w:r>
      <w:permEnd w:id="9"/>
      <w:r>
        <w:rPr>
          <w:rFonts w:hint="eastAsia" w:ascii="仿宋" w:hAnsi="仿宋" w:eastAsia="仿宋" w:cs="仿宋"/>
          <w:sz w:val="24"/>
        </w:rPr>
        <w:t>小时内响应到场，涉及零配件更换的，在</w:t>
      </w:r>
      <w:permStart w:id="10" w:edGrp="everyone"/>
      <w:permEnd w:id="10"/>
      <w:r>
        <w:rPr>
          <w:rFonts w:hint="eastAsia" w:ascii="仿宋" w:hAnsi="仿宋" w:eastAsia="仿宋" w:cs="仿宋"/>
          <w:sz w:val="24"/>
        </w:rPr>
        <w:t>小时内修复；不涉及零配件更换的，在</w:t>
      </w:r>
      <w:permStart w:id="11" w:edGrp="everyone"/>
      <w:permEnd w:id="11"/>
      <w:r>
        <w:rPr>
          <w:rFonts w:hint="eastAsia" w:ascii="仿宋" w:hAnsi="仿宋" w:eastAsia="仿宋" w:cs="仿宋"/>
          <w:sz w:val="24"/>
        </w:rPr>
        <w:t>小时内修复，并承担修复费用；如质保期内，货物经乙方两次维修仍不能达到本合同约定的质量标准，甲方有权采取要求乙方更换全新货物、退货并追究乙方违约责任等措施。（货到现场后由于甲方保管不当造成的问题，乙方亦应负责维修，但费用由甲方负担。）质保期内，如需更换零配件，乙方应保证所更换的零配件与原货物相同规格和品质，费用包括在合同总价中。</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2、乙方须指派专人负责与甲方联系售后服务事宜。</w:t>
      </w:r>
    </w:p>
    <w:p>
      <w:pPr>
        <w:spacing w:line="360" w:lineRule="auto"/>
        <w:ind w:firstLine="480"/>
        <w:rPr>
          <w:rFonts w:ascii="仿宋" w:hAnsi="仿宋" w:eastAsia="仿宋" w:cs="仿宋"/>
          <w:sz w:val="24"/>
        </w:rPr>
      </w:pPr>
      <w:r>
        <w:rPr>
          <w:rFonts w:hint="eastAsia" w:ascii="仿宋" w:hAnsi="仿宋" w:eastAsia="仿宋" w:cs="仿宋"/>
          <w:sz w:val="24"/>
        </w:rPr>
        <w:t>联系人：</w:t>
      </w:r>
      <w:permStart w:id="12" w:edGrp="everyone"/>
      <w:r>
        <w:rPr>
          <w:rFonts w:hint="eastAsia" w:ascii="仿宋" w:hAnsi="仿宋" w:eastAsia="仿宋" w:cs="仿宋"/>
          <w:sz w:val="24"/>
          <w:u w:val="single"/>
        </w:rPr>
        <w:t>***</w:t>
      </w:r>
      <w:permEnd w:id="12"/>
      <w:r>
        <w:rPr>
          <w:rFonts w:hint="eastAsia" w:ascii="仿宋" w:hAnsi="仿宋" w:eastAsia="仿宋" w:cs="仿宋"/>
          <w:sz w:val="24"/>
        </w:rPr>
        <w:t>，联系方式：</w:t>
      </w:r>
      <w:permStart w:id="13" w:edGrp="everyone"/>
      <w:r>
        <w:rPr>
          <w:rFonts w:hint="eastAsia" w:ascii="仿宋" w:hAnsi="仿宋" w:eastAsia="仿宋" w:cs="仿宋"/>
          <w:sz w:val="24"/>
          <w:u w:val="single"/>
        </w:rPr>
        <w:t>***</w:t>
      </w:r>
      <w:permEnd w:id="13"/>
    </w:p>
    <w:p>
      <w:pPr>
        <w:spacing w:line="360" w:lineRule="auto"/>
        <w:ind w:firstLine="480"/>
        <w:rPr>
          <w:rFonts w:ascii="仿宋" w:hAnsi="仿宋" w:eastAsia="仿宋" w:cs="仿宋"/>
          <w:sz w:val="24"/>
        </w:rPr>
      </w:pPr>
      <w:r>
        <w:rPr>
          <w:rFonts w:hint="eastAsia" w:ascii="仿宋" w:hAnsi="仿宋" w:eastAsia="仿宋" w:cs="仿宋"/>
          <w:sz w:val="24"/>
        </w:rPr>
        <w:t xml:space="preserve">3、在保修期内乙方应保证该货物因故障停用时间小于 </w:t>
      </w:r>
      <w:permStart w:id="14" w:edGrp="everyone"/>
      <w:r>
        <w:rPr>
          <w:rFonts w:hint="eastAsia" w:ascii="仿宋" w:hAnsi="仿宋" w:eastAsia="仿宋" w:cs="仿宋"/>
          <w:sz w:val="24"/>
          <w:u w:val="single"/>
        </w:rPr>
        <w:t>***</w:t>
      </w:r>
      <w:permEnd w:id="14"/>
      <w:r>
        <w:rPr>
          <w:rFonts w:hint="eastAsia" w:ascii="仿宋" w:hAnsi="仿宋" w:eastAsia="仿宋" w:cs="仿宋"/>
          <w:sz w:val="24"/>
        </w:rPr>
        <w:t xml:space="preserve"> 天。</w:t>
      </w:r>
    </w:p>
    <w:p>
      <w:pPr>
        <w:spacing w:line="360" w:lineRule="auto"/>
        <w:ind w:firstLine="480"/>
        <w:rPr>
          <w:rFonts w:ascii="仿宋" w:hAnsi="仿宋" w:eastAsia="仿宋" w:cs="仿宋"/>
          <w:sz w:val="24"/>
        </w:rPr>
      </w:pPr>
      <w:r>
        <w:rPr>
          <w:rFonts w:hint="eastAsia" w:ascii="仿宋" w:hAnsi="仿宋" w:eastAsia="仿宋" w:cs="仿宋"/>
          <w:sz w:val="24"/>
        </w:rPr>
        <w:t>4、若货物涉及计算机软件系统的，乙方有义务为甲方此后对货物完全的使用（含维护）提供便利及支持，包括但不限于源代码、密码的提供，乙方不得拒绝或收取额外费用。</w:t>
      </w:r>
    </w:p>
    <w:p>
      <w:pPr>
        <w:spacing w:line="360" w:lineRule="auto"/>
        <w:ind w:firstLine="480" w:firstLineChars="200"/>
        <w:rPr>
          <w:rFonts w:ascii="仿宋" w:hAnsi="仿宋" w:eastAsia="仿宋" w:cs="仿宋"/>
          <w:sz w:val="24"/>
        </w:rPr>
      </w:pPr>
      <w:r>
        <w:rPr>
          <w:rFonts w:hint="eastAsia" w:ascii="仿宋" w:hAnsi="仿宋" w:eastAsia="仿宋" w:cs="仿宋"/>
          <w:sz w:val="24"/>
        </w:rPr>
        <w:t>5、产品软件升级特别约定：乙方承诺所供产品上安装的软件已获得软件厂商的正规授权并免费为甲方就软件提供升级服务。</w:t>
      </w:r>
    </w:p>
    <w:p>
      <w:pPr>
        <w:pStyle w:val="5"/>
        <w:spacing w:line="360" w:lineRule="auto"/>
        <w:ind w:firstLine="480"/>
        <w:rPr>
          <w:rFonts w:ascii="仿宋" w:hAnsi="仿宋" w:eastAsia="仿宋" w:cs="仿宋"/>
          <w:szCs w:val="24"/>
        </w:rPr>
      </w:pPr>
      <w:r>
        <w:rPr>
          <w:rFonts w:hint="eastAsia" w:ascii="仿宋" w:hAnsi="仿宋" w:eastAsia="仿宋" w:cs="仿宋"/>
          <w:szCs w:val="24"/>
        </w:rPr>
        <w:t>6、维修期间，根据甲方需求，乙方应向甲方提供替用货物。</w:t>
      </w:r>
    </w:p>
    <w:p>
      <w:pPr>
        <w:pStyle w:val="5"/>
        <w:spacing w:line="360" w:lineRule="auto"/>
        <w:ind w:firstLine="480"/>
        <w:rPr>
          <w:rFonts w:ascii="仿宋" w:hAnsi="仿宋" w:eastAsia="仿宋" w:cs="仿宋"/>
          <w:szCs w:val="24"/>
        </w:rPr>
      </w:pPr>
      <w:r>
        <w:rPr>
          <w:rFonts w:hint="eastAsia" w:ascii="仿宋" w:hAnsi="仿宋" w:eastAsia="仿宋" w:cs="仿宋"/>
          <w:szCs w:val="24"/>
        </w:rPr>
        <w:t>7、</w:t>
      </w:r>
      <w:permStart w:id="15" w:edGrp="everyone"/>
      <w:r>
        <w:rPr>
          <w:rFonts w:hint="eastAsia" w:ascii="仿宋" w:hAnsi="仿宋" w:eastAsia="仿宋" w:cs="仿宋"/>
          <w:szCs w:val="24"/>
        </w:rPr>
        <w:t>其他售后服务方案详见附件。</w:t>
      </w:r>
    </w:p>
    <w:permEnd w:id="15"/>
    <w:p>
      <w:pPr>
        <w:tabs>
          <w:tab w:val="left" w:pos="426"/>
          <w:tab w:val="left" w:pos="567"/>
        </w:tabs>
        <w:spacing w:line="360" w:lineRule="auto"/>
        <w:rPr>
          <w:rFonts w:ascii="仿宋" w:hAnsi="仿宋" w:eastAsia="仿宋" w:cs="仿宋"/>
        </w:rPr>
      </w:pPr>
      <w:r>
        <w:rPr>
          <w:rFonts w:hint="eastAsia" w:ascii="仿宋" w:hAnsi="仿宋" w:eastAsia="仿宋" w:cs="仿宋"/>
        </w:rPr>
        <w:t>八、违约责任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1、甲方违约责任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甲方无正当理由拒收货物的，甲方应偿付合同总价百分之十的违约金。</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2、乙方违约责任</w:t>
      </w:r>
    </w:p>
    <w:p>
      <w:pPr>
        <w:spacing w:line="580" w:lineRule="exact"/>
        <w:ind w:firstLine="360" w:firstLineChars="150"/>
        <w:rPr>
          <w:rFonts w:ascii="仿宋" w:hAnsi="仿宋" w:eastAsia="仿宋" w:cs="仿宋"/>
          <w:sz w:val="24"/>
          <w:szCs w:val="28"/>
        </w:rPr>
      </w:pPr>
      <w:r>
        <w:rPr>
          <w:rFonts w:hint="eastAsia" w:ascii="仿宋" w:hAnsi="仿宋" w:eastAsia="仿宋" w:cs="仿宋"/>
          <w:sz w:val="24"/>
          <w:szCs w:val="28"/>
        </w:rPr>
        <w:t>（1）乙方交付的货物质量不符合合同规定的，在约定的交货时间内经1次调换仍不能达到合同约定的质量要求，甲方有权解除合同，并要求退货。</w:t>
      </w:r>
    </w:p>
    <w:p>
      <w:pPr>
        <w:spacing w:line="580" w:lineRule="exact"/>
        <w:ind w:firstLine="360" w:firstLineChars="150"/>
        <w:rPr>
          <w:rFonts w:ascii="仿宋" w:hAnsi="仿宋" w:eastAsia="仿宋" w:cs="仿宋"/>
          <w:sz w:val="24"/>
          <w:szCs w:val="28"/>
        </w:rPr>
      </w:pPr>
      <w:r>
        <w:rPr>
          <w:rFonts w:hint="eastAsia" w:ascii="仿宋" w:hAnsi="仿宋" w:eastAsia="仿宋" w:cs="仿宋"/>
          <w:sz w:val="24"/>
          <w:szCs w:val="28"/>
        </w:rPr>
        <w:t>（2）质保期内出现质量问题，经2次维修仍不能达到合同约定的质量要求，甲方有权解除合同，并要求退货，要求乙方返还已支付的货款及其利息（其利率按中国人民银行同期同类贷款利率（2019年8月后为LPR）计算）。</w:t>
      </w:r>
    </w:p>
    <w:p>
      <w:pPr>
        <w:spacing w:line="580" w:lineRule="exact"/>
        <w:ind w:firstLine="360" w:firstLineChars="150"/>
        <w:rPr>
          <w:rFonts w:ascii="仿宋" w:hAnsi="仿宋" w:eastAsia="仿宋" w:cs="仿宋"/>
          <w:sz w:val="24"/>
          <w:szCs w:val="28"/>
        </w:rPr>
      </w:pPr>
      <w:r>
        <w:rPr>
          <w:rFonts w:hint="eastAsia" w:ascii="仿宋" w:hAnsi="仿宋" w:eastAsia="仿宋" w:cs="仿宋"/>
          <w:sz w:val="24"/>
          <w:szCs w:val="28"/>
        </w:rPr>
        <w:t>（3）乙方逾期交付货物，每拖延一天，须向甲方支付合同总额千分之三的违约金。乙方逾期交货超过90天，甲方有权解除合同。</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（4）乙方在安装调试过程中以及售后服务过程中，因未按操作规程施工、操作不当、未采取必要的安全防范措施等原因直接或间接造成甲方及第三方人身、财产损失的，由乙方承担由此造成的全部法律责任。</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（5）乙方所供货物质量问题导致甲方及第三方人身、财产损失的，乙方承担由此造成的全部法律责任。</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(6)乙方未按照本合同第六款约定的时限提供合法发票或提供发票瑕疵（包括但不限于发票种类有误、发票金额有误等），甲方付款时限相应顺延并不承担任何延期支付的违约责任。</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（7）如乙方未兑现省内最低价承诺或以虚假手段供货，乙方须以5倍差价退赔，甲方有权从应付款项中优先扣除，并延期两年支付货款，发生两次此类行为，甲方有权终止合同。</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（8）乙方因上述违约行为偿付的违约金不足以弥补甲方损失的，还应按甲方实际经济损失足额弥补。</w:t>
      </w:r>
    </w:p>
    <w:p>
      <w:pPr>
        <w:tabs>
          <w:tab w:val="left" w:pos="426"/>
          <w:tab w:val="left" w:pos="567"/>
        </w:tabs>
        <w:spacing w:line="360" w:lineRule="auto"/>
        <w:rPr>
          <w:rFonts w:ascii="仿宋" w:hAnsi="仿宋" w:eastAsia="仿宋" w:cs="仿宋"/>
        </w:rPr>
      </w:pPr>
      <w:r>
        <w:rPr>
          <w:rFonts w:hint="eastAsia" w:ascii="仿宋" w:hAnsi="仿宋" w:eastAsia="仿宋" w:cs="仿宋"/>
        </w:rPr>
        <w:t>九、廉洁约定</w:t>
      </w:r>
    </w:p>
    <w:p>
      <w:pPr>
        <w:spacing w:line="360" w:lineRule="auto"/>
        <w:ind w:firstLine="480" w:firstLineChars="200"/>
        <w:rPr>
          <w:rFonts w:ascii="仿宋" w:hAnsi="仿宋" w:eastAsia="仿宋" w:cs="仿宋"/>
          <w:sz w:val="24"/>
        </w:rPr>
      </w:pPr>
      <w:r>
        <w:rPr>
          <w:rFonts w:hint="eastAsia" w:ascii="仿宋" w:hAnsi="仿宋" w:eastAsia="仿宋" w:cs="仿宋"/>
          <w:sz w:val="24"/>
        </w:rPr>
        <w:t>甲乙双方及相关人员均应严格遵守有关廉洁规定，共同签署《廉洁购销协议》。乙方公司或相关人员如有商业贿赂等违法违纪行为，甲方可单方解除合同，取消乙方供货资格，解除合同造成的损失由乙方承担。</w:t>
      </w:r>
    </w:p>
    <w:p>
      <w:pPr>
        <w:tabs>
          <w:tab w:val="left" w:pos="426"/>
          <w:tab w:val="left" w:pos="567"/>
        </w:tabs>
        <w:spacing w:line="360" w:lineRule="auto"/>
        <w:rPr>
          <w:rFonts w:ascii="仿宋" w:hAnsi="仿宋" w:eastAsia="仿宋" w:cs="仿宋"/>
        </w:rPr>
      </w:pPr>
      <w:r>
        <w:rPr>
          <w:rFonts w:hint="eastAsia" w:ascii="仿宋" w:hAnsi="仿宋" w:eastAsia="仿宋" w:cs="仿宋"/>
        </w:rPr>
        <w:t>十、争议解决</w:t>
      </w:r>
    </w:p>
    <w:p>
      <w:pPr>
        <w:spacing w:line="360" w:lineRule="auto"/>
        <w:ind w:firstLine="480" w:firstLineChars="200"/>
        <w:rPr>
          <w:rFonts w:ascii="仿宋" w:hAnsi="仿宋" w:eastAsia="仿宋" w:cs="仿宋"/>
          <w:sz w:val="24"/>
        </w:rPr>
      </w:pPr>
      <w:r>
        <w:rPr>
          <w:rFonts w:hint="eastAsia" w:ascii="仿宋" w:hAnsi="仿宋" w:eastAsia="仿宋" w:cs="仿宋"/>
          <w:sz w:val="24"/>
        </w:rPr>
        <w:t>1、因货物的质量问题发生争议，由质量技术监督部门或其指定的质量鉴定机构进行质量鉴定。货物符合标准的，鉴定费由甲方承担；货物不符合质量标准的，鉴定费由乙方承担。</w:t>
      </w:r>
    </w:p>
    <w:p>
      <w:pPr>
        <w:tabs>
          <w:tab w:val="left" w:pos="540"/>
        </w:tabs>
        <w:spacing w:line="360" w:lineRule="auto"/>
        <w:ind w:firstLine="480" w:firstLineChars="200"/>
        <w:rPr>
          <w:rFonts w:ascii="仿宋" w:hAnsi="仿宋" w:eastAsia="仿宋" w:cs="仿宋"/>
          <w:sz w:val="24"/>
        </w:rPr>
      </w:pPr>
      <w:r>
        <w:rPr>
          <w:rFonts w:hint="eastAsia" w:ascii="仿宋" w:hAnsi="仿宋" w:eastAsia="仿宋" w:cs="仿宋"/>
          <w:sz w:val="24"/>
        </w:rPr>
        <w:t>2、合同履行期间,若双方发生争议，可协商或由有关部门调解解决，协商或调解不成的，任何一方均有权向四川省成都市青羊区人民法院起诉。</w:t>
      </w:r>
    </w:p>
    <w:p>
      <w:pPr>
        <w:pStyle w:val="32"/>
        <w:spacing w:line="410" w:lineRule="exact"/>
        <w:rPr>
          <w:rFonts w:ascii="仿宋" w:hAnsi="仿宋" w:eastAsia="仿宋" w:cs="仿宋"/>
          <w:b/>
          <w:color w:val="auto"/>
          <w:kern w:val="0"/>
          <w:sz w:val="30"/>
          <w:szCs w:val="20"/>
        </w:rPr>
      </w:pPr>
      <w:r>
        <w:rPr>
          <w:rFonts w:hint="eastAsia" w:ascii="仿宋" w:hAnsi="仿宋" w:eastAsia="仿宋" w:cs="仿宋"/>
          <w:b/>
          <w:color w:val="auto"/>
          <w:kern w:val="0"/>
          <w:sz w:val="30"/>
          <w:szCs w:val="20"/>
        </w:rPr>
        <w:t>十一、送达</w:t>
      </w:r>
    </w:p>
    <w:p>
      <w:pPr>
        <w:pStyle w:val="32"/>
        <w:spacing w:line="41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甲方送达地址：</w:t>
      </w:r>
    </w:p>
    <w:p>
      <w:pPr>
        <w:pStyle w:val="32"/>
        <w:spacing w:line="41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乙方送达地址：</w:t>
      </w:r>
    </w:p>
    <w:p>
      <w:pPr>
        <w:spacing w:line="360" w:lineRule="auto"/>
        <w:ind w:firstLine="480"/>
        <w:rPr>
          <w:rFonts w:ascii="仿宋" w:hAnsi="仿宋" w:eastAsia="仿宋" w:cs="仿宋"/>
          <w:sz w:val="24"/>
        </w:rPr>
      </w:pPr>
      <w:r>
        <w:rPr>
          <w:rFonts w:hint="eastAsia" w:ascii="仿宋" w:hAnsi="仿宋" w:eastAsia="仿宋" w:cs="仿宋"/>
          <w:sz w:val="24"/>
        </w:rPr>
        <w:t>甲、乙双方关于本合同履行及相关事宜的通知，以及法院与国家机关因本合同争议发出的通知或司法文书（包括但不限于传票、判决书、裁定书、调解书等），应送达至甲乙双方在本合同中提供的地址或在此之后一方以书面形式通知另一方的其他地址。该等通知以专人递送在收到时视为正式送达、或以邮寄方式寄出3个工作日后视为正式送达，或以快递方式在交付后的第3个工作日视为正式送达。若一方地址发生变动，应及时书面通知另一方，否则仍以本合同载明的文书送达地址为准。</w:t>
      </w:r>
    </w:p>
    <w:p>
      <w:pPr>
        <w:tabs>
          <w:tab w:val="left" w:pos="426"/>
          <w:tab w:val="left" w:pos="567"/>
        </w:tabs>
        <w:spacing w:line="360" w:lineRule="auto"/>
        <w:rPr>
          <w:rFonts w:ascii="仿宋" w:hAnsi="仿宋" w:eastAsia="仿宋" w:cs="仿宋"/>
        </w:rPr>
      </w:pPr>
      <w:r>
        <w:rPr>
          <w:rFonts w:hint="eastAsia" w:ascii="仿宋" w:hAnsi="仿宋" w:eastAsia="仿宋" w:cs="仿宋"/>
        </w:rPr>
        <w:t>十二、合同文件构成</w:t>
      </w:r>
    </w:p>
    <w:p>
      <w:pPr>
        <w:spacing w:line="360" w:lineRule="auto"/>
        <w:ind w:firstLine="480" w:firstLineChars="200"/>
        <w:rPr>
          <w:rFonts w:ascii="仿宋" w:hAnsi="仿宋" w:eastAsia="仿宋" w:cs="仿宋"/>
          <w:sz w:val="24"/>
        </w:rPr>
      </w:pPr>
      <w:r>
        <w:rPr>
          <w:rFonts w:hint="eastAsia" w:ascii="仿宋" w:hAnsi="仿宋" w:eastAsia="仿宋" w:cs="仿宋"/>
          <w:sz w:val="24"/>
        </w:rPr>
        <w:t>1、本采购合同与下列文件一起构成合同文件，组成合同的各项文件应互相解释，互为说明。</w:t>
      </w:r>
    </w:p>
    <w:p>
      <w:pPr>
        <w:spacing w:line="360" w:lineRule="auto"/>
        <w:ind w:firstLine="480" w:firstLineChars="200"/>
        <w:rPr>
          <w:rFonts w:ascii="仿宋" w:hAnsi="仿宋" w:eastAsia="仿宋" w:cs="仿宋"/>
          <w:sz w:val="24"/>
        </w:rPr>
      </w:pPr>
      <w:r>
        <w:rPr>
          <w:rFonts w:hint="eastAsia" w:ascii="仿宋" w:hAnsi="仿宋" w:eastAsia="仿宋" w:cs="仿宋"/>
          <w:sz w:val="24"/>
        </w:rPr>
        <w:t>（1）合同协议书；（2）中选通知书（如果有）；（3）投标函及投标函附录（如果有）；（4）招标文件（或比选文件）；（5）投标文件（或响应文件）；（6）其他合同文件。在合同订立及履行过程中形成的与合同有关的文件均构成合同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上述各项合同文件包括合同当事人就该项合同文件所作出的补充和修改，属于同一类内容的文件，应以最新签署的为准。 </w:t>
      </w:r>
    </w:p>
    <w:p>
      <w:pPr>
        <w:tabs>
          <w:tab w:val="left" w:pos="426"/>
          <w:tab w:val="left" w:pos="567"/>
        </w:tabs>
        <w:spacing w:line="360" w:lineRule="auto"/>
        <w:rPr>
          <w:rFonts w:ascii="仿宋" w:hAnsi="仿宋" w:eastAsia="仿宋" w:cs="仿宋"/>
        </w:rPr>
      </w:pPr>
      <w:r>
        <w:rPr>
          <w:rFonts w:hint="eastAsia" w:ascii="仿宋" w:hAnsi="仿宋" w:eastAsia="仿宋" w:cs="仿宋"/>
        </w:rPr>
        <w:t>十三、其他</w:t>
      </w:r>
    </w:p>
    <w:p>
      <w:pPr>
        <w:spacing w:line="360" w:lineRule="auto"/>
        <w:ind w:firstLine="480"/>
        <w:rPr>
          <w:rFonts w:ascii="仿宋" w:hAnsi="仿宋" w:eastAsia="仿宋" w:cs="仿宋"/>
        </w:rPr>
      </w:pPr>
      <w:r>
        <w:rPr>
          <w:rFonts w:hint="eastAsia" w:ascii="仿宋" w:hAnsi="仿宋" w:eastAsia="仿宋" w:cs="仿宋"/>
          <w:sz w:val="24"/>
        </w:rPr>
        <w:t>1、如有未尽事宜，由双方依法订立补充合同。补充合同、附件为本合同的组成部分，与本合同具有同等法律效力。</w:t>
      </w:r>
    </w:p>
    <w:p>
      <w:pPr>
        <w:spacing w:line="360" w:lineRule="auto"/>
        <w:ind w:firstLine="480" w:firstLineChars="200"/>
        <w:rPr>
          <w:rFonts w:ascii="仿宋" w:hAnsi="仿宋" w:eastAsia="仿宋" w:cs="仿宋"/>
          <w:sz w:val="24"/>
        </w:rPr>
      </w:pPr>
      <w:r>
        <w:rPr>
          <w:rFonts w:hint="eastAsia" w:ascii="仿宋" w:hAnsi="仿宋" w:eastAsia="仿宋" w:cs="仿宋"/>
          <w:sz w:val="24"/>
        </w:rPr>
        <w:t>2、本合同一式   份，自双方签章之日起生效。甲方  份，乙方  份。</w:t>
      </w:r>
    </w:p>
    <w:p>
      <w:pPr>
        <w:spacing w:line="360" w:lineRule="auto"/>
        <w:ind w:firstLine="480" w:firstLineChars="200"/>
        <w:rPr>
          <w:rFonts w:ascii="仿宋" w:hAnsi="仿宋" w:eastAsia="仿宋" w:cs="仿宋"/>
          <w:sz w:val="24"/>
        </w:rPr>
      </w:pPr>
      <w:r>
        <w:rPr>
          <w:rFonts w:hint="eastAsia" w:ascii="仿宋" w:hAnsi="仿宋" w:eastAsia="仿宋" w:cs="仿宋"/>
          <w:sz w:val="24"/>
        </w:rPr>
        <w:t>后附：</w:t>
      </w:r>
    </w:p>
    <w:p>
      <w:pPr>
        <w:spacing w:line="360" w:lineRule="auto"/>
        <w:ind w:firstLine="480" w:firstLineChars="200"/>
        <w:rPr>
          <w:rFonts w:ascii="仿宋" w:hAnsi="仿宋" w:eastAsia="仿宋" w:cs="仿宋"/>
          <w:sz w:val="24"/>
        </w:rPr>
      </w:pPr>
      <w:r>
        <w:rPr>
          <w:rFonts w:hint="eastAsia" w:ascii="仿宋" w:hAnsi="仿宋" w:eastAsia="仿宋" w:cs="仿宋"/>
          <w:sz w:val="24"/>
        </w:rPr>
        <w:t>附件一：配置清单</w:t>
      </w:r>
    </w:p>
    <w:p>
      <w:pPr>
        <w:spacing w:line="360" w:lineRule="auto"/>
        <w:ind w:firstLine="480" w:firstLineChars="200"/>
        <w:rPr>
          <w:rFonts w:ascii="仿宋" w:hAnsi="仿宋" w:eastAsia="仿宋" w:cs="仿宋"/>
          <w:sz w:val="24"/>
        </w:rPr>
      </w:pPr>
      <w:r>
        <w:rPr>
          <w:rFonts w:hint="eastAsia" w:ascii="仿宋" w:hAnsi="仿宋" w:eastAsia="仿宋" w:cs="仿宋"/>
          <w:sz w:val="24"/>
        </w:rPr>
        <w:t>附件二：售后服务承诺书（需厂家盖章）</w:t>
      </w:r>
    </w:p>
    <w:p>
      <w:pPr>
        <w:spacing w:line="360" w:lineRule="auto"/>
        <w:ind w:firstLine="480" w:firstLineChars="200"/>
        <w:rPr>
          <w:rFonts w:ascii="仿宋" w:hAnsi="仿宋" w:eastAsia="仿宋" w:cs="仿宋"/>
          <w:sz w:val="24"/>
        </w:rPr>
      </w:pPr>
      <w:r>
        <w:rPr>
          <w:rFonts w:hint="eastAsia" w:ascii="仿宋" w:hAnsi="仿宋" w:eastAsia="仿宋" w:cs="仿宋"/>
          <w:sz w:val="24"/>
        </w:rPr>
        <w:t>附件三：培训计划</w:t>
      </w:r>
    </w:p>
    <w:p>
      <w:pPr>
        <w:ind w:firstLine="472" w:firstLineChars="196"/>
        <w:rPr>
          <w:rFonts w:ascii="仿宋" w:hAnsi="仿宋" w:eastAsia="仿宋" w:cs="仿宋"/>
          <w:b/>
          <w:sz w:val="24"/>
        </w:rPr>
      </w:pPr>
      <w:r>
        <w:rPr>
          <w:rFonts w:hint="eastAsia" w:ascii="仿宋" w:hAnsi="仿宋" w:eastAsia="仿宋" w:cs="仿宋"/>
          <w:b/>
          <w:sz w:val="24"/>
        </w:rPr>
        <w:t>（以下无正文）</w:t>
      </w:r>
    </w:p>
    <w:p>
      <w:pPr>
        <w:spacing w:line="360" w:lineRule="auto"/>
        <w:ind w:firstLine="590" w:firstLineChars="246"/>
        <w:rPr>
          <w:rFonts w:ascii="仿宋" w:hAnsi="仿宋" w:eastAsia="仿宋" w:cs="仿宋"/>
          <w:sz w:val="24"/>
        </w:rPr>
      </w:pPr>
    </w:p>
    <w:p>
      <w:pPr>
        <w:spacing w:line="360" w:lineRule="auto"/>
        <w:rPr>
          <w:rFonts w:ascii="仿宋" w:hAnsi="仿宋" w:eastAsia="仿宋" w:cs="仿宋"/>
          <w:b/>
          <w:bCs/>
          <w:sz w:val="24"/>
        </w:rPr>
      </w:pPr>
    </w:p>
    <w:p>
      <w:pPr>
        <w:spacing w:line="360" w:lineRule="auto"/>
        <w:rPr>
          <w:rFonts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spacing w:line="360" w:lineRule="auto"/>
        <w:rPr>
          <w:rFonts w:ascii="仿宋" w:hAnsi="仿宋" w:eastAsia="仿宋" w:cs="仿宋"/>
          <w:sz w:val="24"/>
        </w:rPr>
      </w:pPr>
    </w:p>
    <w:p>
      <w:pPr>
        <w:rPr>
          <w:rFonts w:ascii="仿宋" w:hAnsi="仿宋" w:eastAsia="仿宋" w:cs="仿宋"/>
          <w:sz w:val="28"/>
          <w:szCs w:val="36"/>
        </w:rPr>
      </w:pPr>
    </w:p>
    <w:p>
      <w:pPr>
        <w:rPr>
          <w:rFonts w:ascii="仿宋" w:hAnsi="仿宋" w:eastAsia="仿宋" w:cs="仿宋"/>
          <w:sz w:val="28"/>
          <w:szCs w:val="36"/>
        </w:rPr>
      </w:pPr>
      <w:r>
        <w:rPr>
          <w:rFonts w:hint="eastAsia" w:ascii="仿宋" w:hAnsi="仿宋" w:eastAsia="仿宋" w:cs="仿宋"/>
          <w:sz w:val="28"/>
          <w:szCs w:val="36"/>
        </w:rPr>
        <w:t>法定代表人（授权代表）：         法定代表人（授权代表）：</w:t>
      </w:r>
    </w:p>
    <w:p>
      <w:pPr>
        <w:rPr>
          <w:rFonts w:ascii="仿宋" w:hAnsi="仿宋" w:eastAsia="仿宋" w:cs="仿宋"/>
          <w:sz w:val="28"/>
          <w:szCs w:val="36"/>
        </w:rPr>
      </w:pPr>
      <w:r>
        <w:rPr>
          <w:rFonts w:hint="eastAsia" w:ascii="仿宋" w:hAnsi="仿宋" w:eastAsia="仿宋" w:cs="仿宋"/>
          <w:sz w:val="28"/>
          <w:szCs w:val="36"/>
        </w:rPr>
        <w:t>地    址：                       地    址：</w:t>
      </w:r>
    </w:p>
    <w:p>
      <w:pPr>
        <w:rPr>
          <w:rFonts w:ascii="仿宋" w:hAnsi="仿宋" w:eastAsia="仿宋" w:cs="仿宋"/>
          <w:sz w:val="28"/>
          <w:szCs w:val="36"/>
        </w:rPr>
      </w:pPr>
      <w:r>
        <w:rPr>
          <w:rFonts w:hint="eastAsia" w:ascii="仿宋" w:hAnsi="仿宋" w:eastAsia="仿宋" w:cs="仿宋"/>
          <w:sz w:val="28"/>
          <w:szCs w:val="36"/>
        </w:rPr>
        <w:t>开户银行：                       开户银行：</w:t>
      </w:r>
    </w:p>
    <w:p>
      <w:pPr>
        <w:rPr>
          <w:rFonts w:ascii="仿宋" w:hAnsi="仿宋" w:eastAsia="仿宋" w:cs="仿宋"/>
          <w:sz w:val="28"/>
          <w:szCs w:val="36"/>
        </w:rPr>
      </w:pPr>
      <w:r>
        <w:rPr>
          <w:rFonts w:hint="eastAsia" w:ascii="仿宋" w:hAnsi="仿宋" w:eastAsia="仿宋" w:cs="仿宋"/>
          <w:sz w:val="28"/>
          <w:szCs w:val="36"/>
        </w:rPr>
        <w:t>账号：                           账号：</w:t>
      </w:r>
    </w:p>
    <w:p>
      <w:pPr>
        <w:rPr>
          <w:rFonts w:ascii="仿宋" w:hAnsi="仿宋" w:eastAsia="仿宋" w:cs="仿宋"/>
          <w:sz w:val="28"/>
          <w:szCs w:val="36"/>
        </w:rPr>
      </w:pPr>
      <w:r>
        <w:rPr>
          <w:rFonts w:hint="eastAsia" w:ascii="仿宋" w:hAnsi="仿宋" w:eastAsia="仿宋" w:cs="仿宋"/>
          <w:sz w:val="28"/>
          <w:szCs w:val="36"/>
        </w:rPr>
        <w:t>电    话：                       电    话：</w:t>
      </w:r>
    </w:p>
    <w:p>
      <w:pPr>
        <w:rPr>
          <w:rFonts w:ascii="仿宋" w:hAnsi="仿宋" w:eastAsia="仿宋" w:cs="仿宋"/>
          <w:sz w:val="28"/>
          <w:szCs w:val="36"/>
        </w:rPr>
      </w:pPr>
      <w:r>
        <w:rPr>
          <w:rFonts w:hint="eastAsia" w:ascii="仿宋" w:hAnsi="仿宋" w:eastAsia="仿宋" w:cs="仿宋"/>
          <w:sz w:val="28"/>
          <w:szCs w:val="36"/>
        </w:rPr>
        <w:t>传    真：                       传    真：</w:t>
      </w:r>
    </w:p>
    <w:p>
      <w:pPr>
        <w:rPr>
          <w:rFonts w:ascii="仿宋" w:hAnsi="仿宋" w:eastAsia="仿宋" w:cs="仿宋"/>
          <w:sz w:val="28"/>
          <w:szCs w:val="36"/>
        </w:rPr>
      </w:pPr>
      <w:r>
        <w:rPr>
          <w:rFonts w:hint="eastAsia" w:ascii="仿宋" w:hAnsi="仿宋" w:eastAsia="仿宋" w:cs="仿宋"/>
          <w:sz w:val="28"/>
          <w:szCs w:val="36"/>
        </w:rPr>
        <w:t xml:space="preserve">签约日期：   年   月   日 </w:t>
      </w:r>
      <w:r>
        <w:rPr>
          <w:rFonts w:hint="eastAsia" w:ascii="仿宋" w:hAnsi="仿宋" w:eastAsia="仿宋" w:cs="仿宋"/>
          <w:sz w:val="28"/>
          <w:szCs w:val="36"/>
        </w:rPr>
        <w:tab/>
      </w:r>
      <w:r>
        <w:rPr>
          <w:rFonts w:hint="eastAsia" w:ascii="仿宋" w:hAnsi="仿宋" w:eastAsia="仿宋" w:cs="仿宋"/>
          <w:sz w:val="28"/>
          <w:szCs w:val="36"/>
        </w:rPr>
        <w:tab/>
      </w:r>
      <w:r>
        <w:rPr>
          <w:rFonts w:hint="eastAsia" w:ascii="仿宋" w:hAnsi="仿宋" w:eastAsia="仿宋" w:cs="仿宋"/>
          <w:sz w:val="28"/>
          <w:szCs w:val="36"/>
        </w:rPr>
        <w:tab/>
      </w:r>
      <w:r>
        <w:rPr>
          <w:rFonts w:hint="eastAsia" w:ascii="仿宋" w:hAnsi="仿宋" w:eastAsia="仿宋" w:cs="仿宋"/>
          <w:sz w:val="28"/>
          <w:szCs w:val="36"/>
        </w:rPr>
        <w:t>签约日期：     年   月   日</w:t>
      </w:r>
    </w:p>
    <w:p>
      <w:pPr>
        <w:spacing w:line="360" w:lineRule="auto"/>
        <w:rPr>
          <w:rStyle w:val="31"/>
          <w:rFonts w:ascii="仿宋" w:hAnsi="仿宋" w:eastAsia="仿宋" w:cs="仿宋"/>
        </w:rPr>
      </w:pPr>
      <w:r>
        <w:rPr>
          <w:rFonts w:hint="eastAsia" w:ascii="仿宋" w:hAnsi="仿宋" w:eastAsia="仿宋" w:cs="仿宋"/>
          <w:sz w:val="24"/>
        </w:rPr>
        <w:br w:type="page"/>
      </w:r>
      <w:bookmarkStart w:id="96" w:name="_Toc12729"/>
      <w:bookmarkStart w:id="97" w:name="_Toc26821"/>
      <w:r>
        <w:rPr>
          <w:rFonts w:hint="eastAsia" w:ascii="仿宋" w:hAnsi="仿宋" w:eastAsia="仿宋" w:cs="仿宋"/>
          <w:sz w:val="28"/>
          <w:szCs w:val="36"/>
        </w:rPr>
        <w:t>附件：货物配置清单</w:t>
      </w:r>
      <w:bookmarkEnd w:id="96"/>
      <w:bookmarkEnd w:id="97"/>
    </w:p>
    <w:p>
      <w:pPr>
        <w:spacing w:line="360" w:lineRule="auto"/>
        <w:rPr>
          <w:rStyle w:val="34"/>
        </w:rPr>
      </w:pPr>
      <w:r>
        <w:rPr>
          <w:sz w:val="24"/>
          <w:u w:val="single"/>
        </w:rPr>
        <w:br w:type="page"/>
      </w:r>
      <w:bookmarkStart w:id="98" w:name="_Toc19583"/>
      <w:bookmarkStart w:id="99" w:name="_Toc14877"/>
      <w:r>
        <w:rPr>
          <w:rFonts w:hint="eastAsia" w:ascii="仿宋" w:hAnsi="仿宋" w:eastAsia="仿宋" w:cs="仿宋"/>
          <w:sz w:val="28"/>
          <w:szCs w:val="36"/>
        </w:rPr>
        <w:t>附件：货物技术参数</w:t>
      </w:r>
      <w:bookmarkEnd w:id="98"/>
      <w:bookmarkEnd w:id="99"/>
    </w:p>
    <w:p>
      <w:pPr>
        <w:spacing w:line="360" w:lineRule="auto"/>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b/>
          <w:bCs/>
          <w:sz w:val="44"/>
          <w:szCs w:val="52"/>
        </w:rPr>
      </w:pPr>
      <w:r>
        <w:rPr>
          <w:rFonts w:hint="eastAsia"/>
          <w:b/>
          <w:bCs/>
          <w:sz w:val="44"/>
          <w:szCs w:val="52"/>
        </w:rPr>
        <w:t>廉洁购销协议</w:t>
      </w:r>
    </w:p>
    <w:p>
      <w:pPr>
        <w:rPr>
          <w:rFonts w:ascii="仿宋" w:hAnsi="仿宋" w:eastAsia="仿宋"/>
          <w:sz w:val="28"/>
          <w:szCs w:val="28"/>
        </w:rPr>
      </w:pPr>
      <w:r>
        <w:rPr>
          <w:rFonts w:hint="eastAsia" w:ascii="仿宋" w:hAnsi="仿宋" w:eastAsia="仿宋"/>
          <w:sz w:val="28"/>
          <w:szCs w:val="28"/>
        </w:rPr>
        <w:t>甲方：四川省人民医院</w:t>
      </w:r>
    </w:p>
    <w:p>
      <w:pPr>
        <w:rPr>
          <w:rFonts w:ascii="仿宋" w:hAnsi="仿宋" w:eastAsia="仿宋"/>
          <w:sz w:val="28"/>
          <w:szCs w:val="28"/>
        </w:rPr>
      </w:pPr>
      <w:r>
        <w:rPr>
          <w:rFonts w:hint="eastAsia" w:ascii="仿宋" w:hAnsi="仿宋" w:eastAsia="仿宋"/>
          <w:sz w:val="28"/>
          <w:szCs w:val="28"/>
        </w:rPr>
        <w:t>乙方：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为进一步加强廉政建设,预防医药购销领域不正之风,我院与供应商签订如下协议,共同遵守:</w:t>
      </w:r>
    </w:p>
    <w:p>
      <w:pPr>
        <w:ind w:firstLine="560" w:firstLineChars="200"/>
        <w:rPr>
          <w:rFonts w:ascii="仿宋" w:hAnsi="仿宋" w:eastAsia="仿宋"/>
          <w:sz w:val="28"/>
          <w:szCs w:val="28"/>
        </w:rPr>
      </w:pPr>
      <w:r>
        <w:rPr>
          <w:rFonts w:hint="eastAsia" w:ascii="仿宋" w:hAnsi="仿宋" w:eastAsia="仿宋"/>
          <w:sz w:val="28"/>
          <w:szCs w:val="28"/>
        </w:rPr>
        <w:t>一、甲方工作人员不得利用职务和招投标等工作之便,暗示、索要和收受供应商任何形式的财物、提成、回扣等一切不正当利益。</w:t>
      </w:r>
    </w:p>
    <w:p>
      <w:pPr>
        <w:ind w:firstLine="560" w:firstLineChars="200"/>
        <w:rPr>
          <w:rFonts w:ascii="仿宋" w:hAnsi="仿宋" w:eastAsia="仿宋"/>
          <w:sz w:val="28"/>
          <w:szCs w:val="28"/>
        </w:rPr>
      </w:pPr>
      <w:r>
        <w:rPr>
          <w:rFonts w:hint="eastAsia" w:ascii="仿宋" w:hAnsi="仿宋" w:eastAsia="仿宋"/>
          <w:sz w:val="28"/>
          <w:szCs w:val="28"/>
        </w:rPr>
        <w:t>二、甲方工作人员严格执行国家及我院的采购管理制度，如有违反,一经查实,按有关规定严肃处理并追究相关人员责任。</w:t>
      </w:r>
    </w:p>
    <w:p>
      <w:pPr>
        <w:ind w:firstLine="560" w:firstLineChars="200"/>
        <w:rPr>
          <w:rFonts w:ascii="仿宋" w:hAnsi="仿宋" w:eastAsia="仿宋"/>
          <w:sz w:val="28"/>
          <w:szCs w:val="28"/>
        </w:rPr>
      </w:pPr>
      <w:r>
        <w:rPr>
          <w:rFonts w:hint="eastAsia" w:ascii="仿宋" w:hAnsi="仿宋" w:eastAsia="仿宋"/>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ind w:firstLine="560" w:firstLineChars="200"/>
        <w:rPr>
          <w:rFonts w:ascii="仿宋" w:hAnsi="仿宋" w:eastAsia="仿宋"/>
          <w:sz w:val="28"/>
          <w:szCs w:val="28"/>
        </w:rPr>
      </w:pPr>
      <w:r>
        <w:rPr>
          <w:rFonts w:hint="eastAsia" w:ascii="仿宋" w:hAnsi="仿宋" w:eastAsia="仿宋"/>
          <w:sz w:val="28"/>
          <w:szCs w:val="28"/>
        </w:rPr>
        <w:t>四、乙方及其代理人不得以宣传费、赞助费、科研费、劳务费、咨询费、佣金、学术活动、外出考察等名义，或者以报销各种费用等变相给付财物的形式，获得业务或保持业务。</w:t>
      </w:r>
    </w:p>
    <w:p>
      <w:pPr>
        <w:ind w:firstLine="560" w:firstLineChars="200"/>
        <w:rPr>
          <w:rFonts w:ascii="仿宋" w:hAnsi="仿宋" w:eastAsia="仿宋"/>
          <w:sz w:val="28"/>
          <w:szCs w:val="28"/>
        </w:rPr>
      </w:pPr>
      <w:r>
        <w:rPr>
          <w:rFonts w:hint="eastAsia" w:ascii="仿宋" w:hAnsi="仿宋" w:eastAsia="仿宋"/>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ind w:firstLine="560" w:firstLineChars="200"/>
        <w:rPr>
          <w:rFonts w:ascii="仿宋" w:hAnsi="仿宋" w:eastAsia="仿宋"/>
          <w:sz w:val="28"/>
          <w:szCs w:val="28"/>
        </w:rPr>
      </w:pPr>
      <w:r>
        <w:rPr>
          <w:rFonts w:hint="eastAsia" w:ascii="仿宋" w:hAnsi="仿宋" w:eastAsia="仿宋"/>
          <w:sz w:val="28"/>
          <w:szCs w:val="28"/>
        </w:rPr>
        <w:t>六、乙方必须承诺向我院供货的同规格型号同质量等级医用物资为全省最低价，办公用品、装修材料、营养科食材、工会福利等为同时期成都市集团采购最低价。</w:t>
      </w:r>
    </w:p>
    <w:p>
      <w:pPr>
        <w:ind w:firstLine="560" w:firstLineChars="200"/>
        <w:rPr>
          <w:rFonts w:ascii="仿宋" w:hAnsi="仿宋" w:eastAsia="仿宋"/>
          <w:sz w:val="28"/>
          <w:szCs w:val="28"/>
        </w:rPr>
      </w:pPr>
      <w:r>
        <w:rPr>
          <w:rFonts w:hint="eastAsia" w:ascii="仿宋" w:hAnsi="仿宋" w:eastAsia="仿宋"/>
          <w:sz w:val="28"/>
          <w:szCs w:val="28"/>
        </w:rPr>
        <w:t>七、乙方违反上述承诺者，甲方单方面终止合作协议，并依法追究乙方的违约责任。</w:t>
      </w:r>
    </w:p>
    <w:p>
      <w:pPr>
        <w:ind w:firstLine="560" w:firstLineChars="200"/>
        <w:rPr>
          <w:rFonts w:ascii="仿宋" w:hAnsi="仿宋" w:eastAsia="仿宋"/>
          <w:sz w:val="28"/>
          <w:szCs w:val="28"/>
        </w:rPr>
      </w:pPr>
      <w:r>
        <w:rPr>
          <w:rFonts w:hint="eastAsia" w:ascii="仿宋" w:hAnsi="仿宋" w:eastAsia="仿宋"/>
          <w:sz w:val="28"/>
          <w:szCs w:val="28"/>
        </w:rPr>
        <w:t>八、本协议一式三份,归口管理部门、供应商、招标采购中心各执一份。</w:t>
      </w:r>
    </w:p>
    <w:p>
      <w:pPr>
        <w:ind w:firstLine="560" w:firstLineChars="200"/>
        <w:rPr>
          <w:rFonts w:ascii="仿宋" w:hAnsi="仿宋" w:eastAsia="仿宋"/>
          <w:sz w:val="28"/>
          <w:szCs w:val="28"/>
        </w:rPr>
      </w:pPr>
      <w:r>
        <w:rPr>
          <w:rFonts w:hint="eastAsia" w:ascii="仿宋" w:hAnsi="仿宋" w:eastAsia="仿宋"/>
          <w:sz w:val="28"/>
          <w:szCs w:val="28"/>
        </w:rPr>
        <w:t>举报受理部门：审计部</w:t>
      </w:r>
    </w:p>
    <w:p>
      <w:pPr>
        <w:ind w:firstLine="560" w:firstLineChars="200"/>
        <w:rPr>
          <w:rFonts w:ascii="仿宋" w:hAnsi="仿宋" w:eastAsia="仿宋"/>
          <w:sz w:val="28"/>
          <w:szCs w:val="28"/>
        </w:rPr>
      </w:pPr>
      <w:r>
        <w:rPr>
          <w:rFonts w:hint="eastAsia" w:ascii="仿宋" w:hAnsi="仿宋" w:eastAsia="仿宋"/>
          <w:sz w:val="28"/>
          <w:szCs w:val="28"/>
        </w:rPr>
        <w:t>举报电话：87393203</w:t>
      </w:r>
    </w:p>
    <w:p>
      <w:pPr>
        <w:ind w:firstLine="560" w:firstLineChars="200"/>
        <w:rPr>
          <w:rFonts w:ascii="仿宋" w:hAnsi="仿宋" w:eastAsia="仿宋"/>
          <w:sz w:val="28"/>
          <w:szCs w:val="28"/>
        </w:rPr>
      </w:pPr>
      <w:r>
        <w:rPr>
          <w:rFonts w:hint="eastAsia" w:ascii="仿宋" w:hAnsi="仿宋" w:eastAsia="仿宋"/>
          <w:sz w:val="28"/>
          <w:szCs w:val="28"/>
        </w:rPr>
        <w:t>举报邮箱：scsyjsc@163.com</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甲方：四川省人民医院(盖章) 乙方：供应单位(盖章)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甲方代表签字： 乙方代表签字:</w:t>
      </w:r>
    </w:p>
    <w:p>
      <w:pPr>
        <w:ind w:firstLine="4200" w:firstLineChars="1500"/>
        <w:rPr>
          <w:rFonts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年   月   日</w:t>
      </w:r>
    </w:p>
    <w:p>
      <w:pPr>
        <w:pStyle w:val="24"/>
      </w:pPr>
    </w:p>
    <w:p>
      <w:pPr>
        <w:pStyle w:val="24"/>
      </w:pPr>
    </w:p>
    <w:sectPr>
      <w:headerReference r:id="rId8" w:type="default"/>
      <w:footerReference r:id="rId9"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016D3DD-EB66-40F9-8A6A-8FA3C2B6821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25D78FA-8C79-4203-8060-2BC86F59B0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E9426DFD-F784-44EA-AD10-A6BCEF279719}"/>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华文仿宋">
    <w:panose1 w:val="02010600040101010101"/>
    <w:charset w:val="86"/>
    <w:family w:val="auto"/>
    <w:pitch w:val="default"/>
    <w:sig w:usb0="00000287" w:usb1="080F0000" w:usb2="00000000" w:usb3="00000000" w:csb0="0004009F" w:csb1="DFD70000"/>
    <w:embedRegular r:id="rId4" w:fontKey="{840A5F72-2F21-466F-833A-59A3DDFFA66F}"/>
  </w:font>
  <w:font w:name="等线">
    <w:panose1 w:val="02010600030101010101"/>
    <w:charset w:val="86"/>
    <w:family w:val="auto"/>
    <w:pitch w:val="default"/>
    <w:sig w:usb0="A00002BF" w:usb1="38CF7CFA" w:usb2="00000016" w:usb3="00000000" w:csb0="0004000F" w:csb1="00000000"/>
    <w:embedRegular r:id="rId5" w:fontKey="{D2568ED8-A6CD-442D-8A6A-883BCCB301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p>
  <w:p>
    <w:pPr>
      <w:pStyle w:val="13"/>
      <w:pBdr>
        <w:bottom w:val="none" w:color="auto" w:sz="0" w:space="1"/>
      </w:pBdr>
      <w:jc w:val="right"/>
    </w:pPr>
    <w:r>
      <w:rPr>
        <w:rFonts w:hint="eastAsia"/>
      </w:rPr>
      <w:t>CGWJ-BX-202201</w:t>
    </w:r>
  </w:p>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1B684AB8"/>
    <w:multiLevelType w:val="singleLevel"/>
    <w:tmpl w:val="1B684AB8"/>
    <w:lvl w:ilvl="0" w:tentative="0">
      <w:start w:val="1"/>
      <w:numFmt w:val="chineseCounting"/>
      <w:suff w:val="space"/>
      <w:lvlText w:val="第%1章"/>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ThiNWJmMTdkOWMwZDgzY2M2ZDEzNTJhYjFmZDkifQ=="/>
  </w:docVars>
  <w:rsids>
    <w:rsidRoot w:val="7D040AB6"/>
    <w:rsid w:val="0000488D"/>
    <w:rsid w:val="000278AB"/>
    <w:rsid w:val="00060781"/>
    <w:rsid w:val="00077AA7"/>
    <w:rsid w:val="000C337E"/>
    <w:rsid w:val="0022301C"/>
    <w:rsid w:val="002B5793"/>
    <w:rsid w:val="00461368"/>
    <w:rsid w:val="004F4DC4"/>
    <w:rsid w:val="005A705A"/>
    <w:rsid w:val="0064444C"/>
    <w:rsid w:val="00677BCD"/>
    <w:rsid w:val="006F4109"/>
    <w:rsid w:val="007365C1"/>
    <w:rsid w:val="00746494"/>
    <w:rsid w:val="007760AF"/>
    <w:rsid w:val="00780419"/>
    <w:rsid w:val="00823167"/>
    <w:rsid w:val="008439DA"/>
    <w:rsid w:val="00852D47"/>
    <w:rsid w:val="008F14FA"/>
    <w:rsid w:val="008F26A3"/>
    <w:rsid w:val="0094161B"/>
    <w:rsid w:val="00A12C4A"/>
    <w:rsid w:val="00A72CD1"/>
    <w:rsid w:val="00B16CD7"/>
    <w:rsid w:val="00B2440D"/>
    <w:rsid w:val="00B63B3D"/>
    <w:rsid w:val="00BC1C51"/>
    <w:rsid w:val="00BC692F"/>
    <w:rsid w:val="00BE12C0"/>
    <w:rsid w:val="00C16D65"/>
    <w:rsid w:val="00C80DB0"/>
    <w:rsid w:val="00C866E7"/>
    <w:rsid w:val="00D644BF"/>
    <w:rsid w:val="00DF3B6A"/>
    <w:rsid w:val="00F3202A"/>
    <w:rsid w:val="00F523A1"/>
    <w:rsid w:val="00F6075F"/>
    <w:rsid w:val="00F90C3B"/>
    <w:rsid w:val="00FF60E3"/>
    <w:rsid w:val="032014B5"/>
    <w:rsid w:val="058C78B0"/>
    <w:rsid w:val="05E13064"/>
    <w:rsid w:val="08E81B9C"/>
    <w:rsid w:val="093A3733"/>
    <w:rsid w:val="0B4508AE"/>
    <w:rsid w:val="0E0B7FF0"/>
    <w:rsid w:val="108B142D"/>
    <w:rsid w:val="117A5014"/>
    <w:rsid w:val="127F05A0"/>
    <w:rsid w:val="136D78F8"/>
    <w:rsid w:val="162A4F7D"/>
    <w:rsid w:val="17D16D4D"/>
    <w:rsid w:val="1994787E"/>
    <w:rsid w:val="1B543038"/>
    <w:rsid w:val="1D6A2E8A"/>
    <w:rsid w:val="1DD000AF"/>
    <w:rsid w:val="1E09745A"/>
    <w:rsid w:val="239B225E"/>
    <w:rsid w:val="290C3F16"/>
    <w:rsid w:val="29C5318E"/>
    <w:rsid w:val="2B287336"/>
    <w:rsid w:val="2C9A0A9E"/>
    <w:rsid w:val="2D6120CC"/>
    <w:rsid w:val="2DA70D65"/>
    <w:rsid w:val="3122534E"/>
    <w:rsid w:val="327D1E1C"/>
    <w:rsid w:val="33966C79"/>
    <w:rsid w:val="343706EB"/>
    <w:rsid w:val="351A08D0"/>
    <w:rsid w:val="38C36313"/>
    <w:rsid w:val="3FF70D89"/>
    <w:rsid w:val="42075FF8"/>
    <w:rsid w:val="430131BA"/>
    <w:rsid w:val="4782487D"/>
    <w:rsid w:val="47E12DEF"/>
    <w:rsid w:val="49107E10"/>
    <w:rsid w:val="4BAD0151"/>
    <w:rsid w:val="4C8F75A2"/>
    <w:rsid w:val="4CEC36DF"/>
    <w:rsid w:val="4E8C008E"/>
    <w:rsid w:val="50771A9C"/>
    <w:rsid w:val="50BB0632"/>
    <w:rsid w:val="56B32622"/>
    <w:rsid w:val="59CF7566"/>
    <w:rsid w:val="63A9427A"/>
    <w:rsid w:val="63D462B1"/>
    <w:rsid w:val="641A3596"/>
    <w:rsid w:val="65E40ADA"/>
    <w:rsid w:val="66330B86"/>
    <w:rsid w:val="66E22203"/>
    <w:rsid w:val="69D50CF4"/>
    <w:rsid w:val="6C487AFD"/>
    <w:rsid w:val="6CB24363"/>
    <w:rsid w:val="6FCF0795"/>
    <w:rsid w:val="75053D29"/>
    <w:rsid w:val="754D1D92"/>
    <w:rsid w:val="7B5F74F8"/>
    <w:rsid w:val="7D040AB6"/>
    <w:rsid w:val="7D4119E6"/>
    <w:rsid w:val="7EAC4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rPr>
      <w:kern w:val="0"/>
      <w:sz w:val="24"/>
      <w:szCs w:val="20"/>
    </w:rPr>
  </w:style>
  <w:style w:type="paragraph" w:styleId="6">
    <w:name w:val="caption"/>
    <w:basedOn w:val="1"/>
    <w:next w:val="1"/>
    <w:semiHidden/>
    <w:unhideWhenUsed/>
    <w:qFormat/>
    <w:uiPriority w:val="0"/>
    <w:rPr>
      <w:rFonts w:ascii="Arial" w:hAnsi="Arial" w:eastAsia="黑体"/>
      <w:sz w:val="20"/>
    </w:rPr>
  </w:style>
  <w:style w:type="paragraph" w:styleId="7">
    <w:name w:val="Document Map"/>
    <w:basedOn w:val="1"/>
    <w:link w:val="41"/>
    <w:qFormat/>
    <w:uiPriority w:val="0"/>
    <w:rPr>
      <w:rFonts w:ascii="宋体" w:eastAsia="宋体"/>
      <w:sz w:val="18"/>
      <w:szCs w:val="18"/>
    </w:rPr>
  </w:style>
  <w:style w:type="paragraph" w:styleId="8">
    <w:name w:val="annotation text"/>
    <w:basedOn w:val="1"/>
    <w:link w:val="35"/>
    <w:qFormat/>
    <w:uiPriority w:val="0"/>
    <w:pPr>
      <w:jc w:val="left"/>
    </w:pPr>
  </w:style>
  <w:style w:type="paragraph" w:styleId="9">
    <w:name w:val="Body Text Indent"/>
    <w:basedOn w:val="1"/>
    <w:unhideWhenUsed/>
    <w:qFormat/>
    <w:uiPriority w:val="99"/>
    <w:pPr>
      <w:ind w:firstLine="630"/>
    </w:pPr>
    <w:rPr>
      <w:rFonts w:ascii="Calibri"/>
      <w:sz w:val="32"/>
      <w:szCs w:val="20"/>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8"/>
    <w:next w:val="8"/>
    <w:link w:val="36"/>
    <w:qFormat/>
    <w:uiPriority w:val="0"/>
    <w:rPr>
      <w:b/>
      <w:bCs/>
    </w:rPr>
  </w:style>
  <w:style w:type="paragraph" w:styleId="16">
    <w:name w:val="Body Text First Indent"/>
    <w:basedOn w:val="2"/>
    <w:link w:val="31"/>
    <w:qFormat/>
    <w:uiPriority w:val="0"/>
    <w:pPr>
      <w:snapToGrid w:val="0"/>
      <w:spacing w:before="40" w:after="40" w:line="288" w:lineRule="auto"/>
      <w:ind w:firstLine="482"/>
    </w:pPr>
    <w:rPr>
      <w:rFonts w:ascii="仿宋_GB2312" w:hAnsi="仿宋_GB2312" w:eastAsia="仿宋_GB2312"/>
      <w:szCs w:val="20"/>
    </w:rPr>
  </w:style>
  <w:style w:type="paragraph" w:styleId="17">
    <w:name w:val="Body Text First Indent 2"/>
    <w:basedOn w:val="9"/>
    <w:next w:val="1"/>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qFormat/>
    <w:uiPriority w:val="0"/>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Char"/>
    <w:link w:val="10"/>
    <w:qFormat/>
    <w:uiPriority w:val="0"/>
    <w:rPr>
      <w:szCs w:val="20"/>
    </w:rPr>
  </w:style>
  <w:style w:type="character" w:customStyle="1" w:styleId="31">
    <w:name w:val="正文首行缩进 Char"/>
    <w:link w:val="16"/>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Char"/>
    <w:link w:val="17"/>
    <w:qFormat/>
    <w:uiPriority w:val="99"/>
    <w:rPr>
      <w:rFonts w:ascii="宋体" w:hAnsi="Times New Roman"/>
      <w:kern w:val="0"/>
      <w:sz w:val="21"/>
      <w:szCs w:val="24"/>
    </w:rPr>
  </w:style>
  <w:style w:type="character" w:customStyle="1" w:styleId="35">
    <w:name w:val="批注文字 Char"/>
    <w:basedOn w:val="20"/>
    <w:link w:val="8"/>
    <w:qFormat/>
    <w:uiPriority w:val="0"/>
    <w:rPr>
      <w:kern w:val="2"/>
      <w:sz w:val="21"/>
      <w:szCs w:val="22"/>
    </w:rPr>
  </w:style>
  <w:style w:type="character" w:customStyle="1" w:styleId="36">
    <w:name w:val="批注主题 Char"/>
    <w:basedOn w:val="35"/>
    <w:link w:val="15"/>
    <w:qFormat/>
    <w:uiPriority w:val="0"/>
    <w:rPr>
      <w:b/>
      <w:bCs/>
      <w:kern w:val="2"/>
      <w:sz w:val="21"/>
      <w:szCs w:val="22"/>
    </w:rPr>
  </w:style>
  <w:style w:type="character" w:customStyle="1" w:styleId="37">
    <w:name w:val="批注框文本 Char"/>
    <w:basedOn w:val="20"/>
    <w:link w:val="11"/>
    <w:qFormat/>
    <w:uiPriority w:val="0"/>
    <w:rPr>
      <w:kern w:val="2"/>
      <w:sz w:val="18"/>
      <w:szCs w:val="18"/>
    </w:rPr>
  </w:style>
  <w:style w:type="character" w:customStyle="1" w:styleId="38">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39">
    <w:name w:val="网格型1"/>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_Style 2"/>
    <w:basedOn w:val="1"/>
    <w:qFormat/>
    <w:uiPriority w:val="0"/>
    <w:pPr>
      <w:ind w:firstLine="420" w:firstLineChars="200"/>
    </w:pPr>
    <w:rPr>
      <w:sz w:val="18"/>
      <w:szCs w:val="18"/>
    </w:rPr>
  </w:style>
  <w:style w:type="character" w:customStyle="1" w:styleId="41">
    <w:name w:val="文档结构图 Char"/>
    <w:basedOn w:val="20"/>
    <w:link w:val="7"/>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11431</Words>
  <Characters>11884</Characters>
  <Lines>95</Lines>
  <Paragraphs>26</Paragraphs>
  <TotalTime>38</TotalTime>
  <ScaleCrop>false</ScaleCrop>
  <LinksUpToDate>false</LinksUpToDate>
  <CharactersWithSpaces>12309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Administrator</cp:lastModifiedBy>
  <dcterms:modified xsi:type="dcterms:W3CDTF">2022-10-08T06:52:19Z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98D5EA6FB81B41108B878E24445CD778</vt:lpwstr>
  </property>
</Properties>
</file>