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50" w:afterLines="350" w:line="800" w:lineRule="exact"/>
        <w:jc w:val="center"/>
        <w:rPr>
          <w:rFonts w:hint="eastAsia" w:ascii="仿宋" w:hAnsi="仿宋" w:eastAsia="仿宋" w:cs="仿宋"/>
          <w:b/>
          <w:spacing w:val="24"/>
          <w:sz w:val="56"/>
          <w:szCs w:val="56"/>
          <w:lang w:eastAsia="zh-CN"/>
        </w:rPr>
      </w:pPr>
      <w:r>
        <w:rPr>
          <w:rFonts w:hint="eastAsia" w:ascii="仿宋" w:hAnsi="仿宋" w:eastAsia="仿宋" w:cs="仿宋"/>
          <w:b/>
          <w:spacing w:val="24"/>
          <w:sz w:val="56"/>
          <w:szCs w:val="56"/>
        </w:rPr>
        <w:t>四川省人民医院四川省老年医学中心一期节能验收报告咨询服务采购项目</w:t>
      </w:r>
      <w:r>
        <w:rPr>
          <w:rFonts w:hint="eastAsia" w:ascii="仿宋" w:hAnsi="仿宋" w:eastAsia="仿宋" w:cs="仿宋"/>
          <w:b/>
          <w:spacing w:val="24"/>
          <w:sz w:val="56"/>
          <w:szCs w:val="56"/>
          <w:lang w:eastAsia="zh-CN"/>
        </w:rPr>
        <w:t>（</w:t>
      </w:r>
      <w:r>
        <w:rPr>
          <w:rFonts w:hint="eastAsia" w:ascii="仿宋" w:hAnsi="仿宋" w:eastAsia="仿宋" w:cs="仿宋"/>
          <w:b/>
          <w:spacing w:val="24"/>
          <w:sz w:val="56"/>
          <w:szCs w:val="56"/>
          <w:lang w:val="en-US" w:eastAsia="zh-CN"/>
        </w:rPr>
        <w:t>第三</w:t>
      </w:r>
      <w:bookmarkStart w:id="153" w:name="_GoBack"/>
      <w:bookmarkEnd w:id="153"/>
      <w:r>
        <w:rPr>
          <w:rFonts w:hint="eastAsia" w:ascii="仿宋" w:hAnsi="仿宋" w:eastAsia="仿宋" w:cs="仿宋"/>
          <w:b/>
          <w:spacing w:val="24"/>
          <w:sz w:val="56"/>
          <w:szCs w:val="56"/>
          <w:lang w:val="en-US" w:eastAsia="zh-CN"/>
        </w:rPr>
        <w:t>次</w:t>
      </w:r>
      <w:r>
        <w:rPr>
          <w:rFonts w:hint="eastAsia" w:ascii="仿宋" w:hAnsi="仿宋" w:eastAsia="仿宋" w:cs="仿宋"/>
          <w:b/>
          <w:spacing w:val="24"/>
          <w:sz w:val="56"/>
          <w:szCs w:val="56"/>
          <w:lang w:eastAsia="zh-CN"/>
        </w:rPr>
        <w:t>）</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购</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文</w:t>
      </w:r>
    </w:p>
    <w:p>
      <w:pPr>
        <w:spacing w:beforeLines="350" w:afterLines="350" w:line="800" w:lineRule="exact"/>
        <w:jc w:val="center"/>
        <w:rPr>
          <w:rFonts w:ascii="仿宋" w:hAnsi="仿宋" w:eastAsia="仿宋" w:cs="仿宋"/>
          <w:b/>
          <w:sz w:val="72"/>
          <w:szCs w:val="72"/>
        </w:rPr>
      </w:pPr>
      <w:r>
        <w:rPr>
          <w:rFonts w:hint="eastAsia" w:ascii="仿宋" w:hAnsi="仿宋" w:eastAsia="仿宋" w:cs="仿宋"/>
          <w:b/>
          <w:sz w:val="72"/>
          <w:szCs w:val="72"/>
        </w:rPr>
        <w:t>件</w:t>
      </w:r>
    </w:p>
    <w:p>
      <w:pPr>
        <w:spacing w:line="440" w:lineRule="exact"/>
        <w:jc w:val="center"/>
        <w:rPr>
          <w:rFonts w:ascii="仿宋" w:hAnsi="仿宋" w:eastAsia="仿宋" w:cs="仿宋"/>
          <w:b/>
          <w:sz w:val="36"/>
          <w:szCs w:val="36"/>
        </w:rPr>
      </w:pPr>
      <w:r>
        <w:rPr>
          <w:rFonts w:hint="eastAsia" w:ascii="仿宋" w:hAnsi="仿宋" w:eastAsia="仿宋" w:cs="仿宋"/>
          <w:b/>
          <w:sz w:val="36"/>
          <w:szCs w:val="36"/>
        </w:rPr>
        <w:t>四川省人民医院 招标采购中心</w:t>
      </w:r>
    </w:p>
    <w:p>
      <w:pPr>
        <w:spacing w:line="440" w:lineRule="exact"/>
        <w:jc w:val="center"/>
        <w:rPr>
          <w:rFonts w:ascii="仿宋" w:hAnsi="仿宋" w:eastAsia="仿宋" w:cs="仿宋"/>
          <w:b/>
          <w:sz w:val="36"/>
          <w:szCs w:val="36"/>
        </w:rPr>
      </w:pPr>
    </w:p>
    <w:p>
      <w:pPr>
        <w:spacing w:line="440" w:lineRule="exact"/>
        <w:jc w:val="center"/>
        <w:rPr>
          <w:rFonts w:ascii="仿宋" w:hAnsi="仿宋" w:eastAsia="仿宋" w:cs="仿宋"/>
          <w:b/>
          <w:sz w:val="36"/>
          <w:szCs w:val="36"/>
          <w:lang w:val="zh-CN"/>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
          <w:sz w:val="36"/>
          <w:szCs w:val="36"/>
        </w:rPr>
        <w:t>2022</w:t>
      </w:r>
      <w:r>
        <w:rPr>
          <w:rFonts w:hint="eastAsia" w:ascii="仿宋" w:hAnsi="仿宋" w:eastAsia="仿宋" w:cs="仿宋"/>
          <w:b/>
          <w:sz w:val="36"/>
          <w:szCs w:val="36"/>
          <w:lang w:val="zh-CN"/>
        </w:rPr>
        <w:t>年</w:t>
      </w:r>
      <w:r>
        <w:rPr>
          <w:rFonts w:hint="eastAsia" w:ascii="仿宋" w:hAnsi="仿宋" w:eastAsia="仿宋" w:cs="仿宋"/>
          <w:b/>
          <w:sz w:val="36"/>
          <w:szCs w:val="36"/>
        </w:rPr>
        <w:t>9</w:t>
      </w:r>
      <w:r>
        <w:rPr>
          <w:rFonts w:hint="eastAsia" w:ascii="仿宋" w:hAnsi="仿宋" w:eastAsia="仿宋" w:cs="仿宋"/>
          <w:b/>
          <w:sz w:val="36"/>
          <w:szCs w:val="36"/>
          <w:lang w:val="zh-CN"/>
        </w:rPr>
        <w:t>月</w:t>
      </w:r>
    </w:p>
    <w:p>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pPr>
        <w:pStyle w:val="13"/>
        <w:tabs>
          <w:tab w:val="right" w:leader="dot" w:pos="8306"/>
        </w:tabs>
        <w:rPr>
          <w:rFonts w:ascii="仿宋" w:hAnsi="仿宋" w:eastAsia="仿宋" w:cs="仿宋"/>
          <w:sz w:val="28"/>
          <w:szCs w:val="32"/>
        </w:rPr>
      </w:pPr>
    </w:p>
    <w:p>
      <w:pPr>
        <w:pStyle w:val="13"/>
        <w:tabs>
          <w:tab w:val="right" w:leader="dot" w:pos="8306"/>
        </w:tabs>
        <w:rPr>
          <w:rFonts w:ascii="仿宋" w:hAnsi="仿宋" w:eastAsia="仿宋" w:cs="仿宋"/>
          <w:sz w:val="28"/>
          <w:szCs w:val="32"/>
        </w:rPr>
      </w:pP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TOC \o "1-1" \h \u </w:instrText>
      </w:r>
      <w:r>
        <w:rPr>
          <w:rFonts w:hint="eastAsia" w:ascii="仿宋" w:hAnsi="仿宋" w:eastAsia="仿宋" w:cs="仿宋"/>
          <w:sz w:val="28"/>
          <w:szCs w:val="32"/>
        </w:rPr>
        <w:fldChar w:fldCharType="separate"/>
      </w:r>
      <w:r>
        <w:fldChar w:fldCharType="begin"/>
      </w:r>
      <w:r>
        <w:instrText xml:space="preserve"> HYPERLINK \l "_Toc24065" </w:instrText>
      </w:r>
      <w:r>
        <w:fldChar w:fldCharType="separate"/>
      </w:r>
      <w:r>
        <w:rPr>
          <w:rFonts w:hint="eastAsia" w:ascii="仿宋" w:hAnsi="仿宋" w:eastAsia="仿宋" w:cs="仿宋"/>
          <w:sz w:val="28"/>
          <w:szCs w:val="44"/>
        </w:rPr>
        <w:t>第一章 比选邀请</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_Toc24065 \h </w:instrText>
      </w:r>
      <w:r>
        <w:rPr>
          <w:rFonts w:hint="eastAsia" w:ascii="仿宋" w:hAnsi="仿宋" w:eastAsia="仿宋" w:cs="仿宋"/>
          <w:sz w:val="28"/>
          <w:szCs w:val="32"/>
        </w:rPr>
        <w:fldChar w:fldCharType="separate"/>
      </w:r>
      <w:r>
        <w:rPr>
          <w:rFonts w:hint="eastAsia" w:ascii="仿宋" w:hAnsi="仿宋" w:eastAsia="仿宋" w:cs="仿宋"/>
          <w:sz w:val="28"/>
          <w:szCs w:val="32"/>
        </w:rPr>
        <w:t>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"_Toc27785" </w:instrText>
      </w:r>
      <w:r>
        <w:fldChar w:fldCharType="separate"/>
      </w:r>
      <w:r>
        <w:rPr>
          <w:rFonts w:hint="eastAsia" w:ascii="仿宋" w:hAnsi="仿宋" w:eastAsia="仿宋" w:cs="仿宋"/>
          <w:sz w:val="28"/>
          <w:szCs w:val="44"/>
        </w:rPr>
        <w:t>第二章 比选须知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_Toc27785 \h </w:instrText>
      </w:r>
      <w:r>
        <w:rPr>
          <w:rFonts w:hint="eastAsia" w:ascii="仿宋" w:hAnsi="仿宋" w:eastAsia="仿宋" w:cs="仿宋"/>
          <w:sz w:val="28"/>
          <w:szCs w:val="32"/>
        </w:rPr>
        <w:fldChar w:fldCharType="separate"/>
      </w:r>
      <w:r>
        <w:rPr>
          <w:rFonts w:hint="eastAsia" w:ascii="仿宋" w:hAnsi="仿宋" w:eastAsia="仿宋" w:cs="仿宋"/>
          <w:sz w:val="28"/>
          <w:szCs w:val="32"/>
        </w:rPr>
        <w:t>3</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"_Toc5333" </w:instrText>
      </w:r>
      <w:r>
        <w:fldChar w:fldCharType="separate"/>
      </w:r>
      <w:r>
        <w:rPr>
          <w:rFonts w:hint="eastAsia" w:ascii="仿宋" w:hAnsi="仿宋" w:eastAsia="仿宋" w:cs="仿宋"/>
          <w:sz w:val="28"/>
          <w:szCs w:val="44"/>
        </w:rPr>
        <w:t>第三章 供应商资格审查及符合性审查</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_Toc5333 \h </w:instrText>
      </w:r>
      <w:r>
        <w:rPr>
          <w:rFonts w:hint="eastAsia" w:ascii="仿宋" w:hAnsi="仿宋" w:eastAsia="仿宋" w:cs="仿宋"/>
          <w:sz w:val="28"/>
          <w:szCs w:val="32"/>
        </w:rPr>
        <w:fldChar w:fldCharType="separate"/>
      </w:r>
      <w:r>
        <w:rPr>
          <w:rFonts w:hint="eastAsia" w:ascii="仿宋" w:hAnsi="仿宋" w:eastAsia="仿宋" w:cs="仿宋"/>
          <w:sz w:val="28"/>
          <w:szCs w:val="32"/>
        </w:rPr>
        <w:t>7</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"_Toc3642" </w:instrText>
      </w:r>
      <w:r>
        <w:fldChar w:fldCharType="separate"/>
      </w:r>
      <w:r>
        <w:rPr>
          <w:rFonts w:hint="eastAsia" w:ascii="仿宋" w:hAnsi="仿宋" w:eastAsia="仿宋" w:cs="仿宋"/>
          <w:sz w:val="28"/>
          <w:szCs w:val="44"/>
        </w:rPr>
        <w:t>第四章 采购需求</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_Toc3642 \h </w:instrText>
      </w:r>
      <w:r>
        <w:rPr>
          <w:rFonts w:hint="eastAsia" w:ascii="仿宋" w:hAnsi="仿宋" w:eastAsia="仿宋" w:cs="仿宋"/>
          <w:sz w:val="28"/>
          <w:szCs w:val="32"/>
        </w:rPr>
        <w:fldChar w:fldCharType="separate"/>
      </w:r>
      <w:r>
        <w:rPr>
          <w:rFonts w:hint="eastAsia" w:ascii="仿宋" w:hAnsi="仿宋" w:eastAsia="仿宋" w:cs="仿宋"/>
          <w:sz w:val="28"/>
          <w:szCs w:val="32"/>
        </w:rPr>
        <w:t>10</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"_Toc16738" </w:instrText>
      </w:r>
      <w:r>
        <w:fldChar w:fldCharType="separate"/>
      </w:r>
      <w:r>
        <w:rPr>
          <w:rFonts w:hint="eastAsia" w:ascii="仿宋" w:hAnsi="仿宋" w:eastAsia="仿宋" w:cs="仿宋"/>
          <w:sz w:val="28"/>
          <w:szCs w:val="44"/>
        </w:rPr>
        <w:t>第五章 评分标准</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_Toc16738 \h </w:instrText>
      </w:r>
      <w:r>
        <w:rPr>
          <w:rFonts w:hint="eastAsia" w:ascii="仿宋" w:hAnsi="仿宋" w:eastAsia="仿宋" w:cs="仿宋"/>
          <w:sz w:val="28"/>
          <w:szCs w:val="32"/>
        </w:rPr>
        <w:fldChar w:fldCharType="separate"/>
      </w:r>
      <w:r>
        <w:rPr>
          <w:rFonts w:hint="eastAsia" w:ascii="仿宋" w:hAnsi="仿宋" w:eastAsia="仿宋" w:cs="仿宋"/>
          <w:sz w:val="28"/>
          <w:szCs w:val="32"/>
        </w:rPr>
        <w:t>11</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"_Toc10063" </w:instrText>
      </w:r>
      <w:r>
        <w:fldChar w:fldCharType="separate"/>
      </w:r>
      <w:r>
        <w:rPr>
          <w:rFonts w:hint="eastAsia" w:ascii="仿宋" w:hAnsi="仿宋" w:eastAsia="仿宋" w:cs="仿宋"/>
          <w:sz w:val="28"/>
          <w:szCs w:val="44"/>
        </w:rPr>
        <w:t>第六章 比选申请文件格式</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_Toc10063 \h </w:instrText>
      </w:r>
      <w:r>
        <w:rPr>
          <w:rFonts w:hint="eastAsia" w:ascii="仿宋" w:hAnsi="仿宋" w:eastAsia="仿宋" w:cs="仿宋"/>
          <w:sz w:val="28"/>
          <w:szCs w:val="32"/>
        </w:rPr>
        <w:fldChar w:fldCharType="separate"/>
      </w:r>
      <w:r>
        <w:rPr>
          <w:rFonts w:hint="eastAsia" w:ascii="仿宋" w:hAnsi="仿宋" w:eastAsia="仿宋" w:cs="仿宋"/>
          <w:sz w:val="28"/>
          <w:szCs w:val="32"/>
        </w:rPr>
        <w:t>12</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3"/>
        <w:tabs>
          <w:tab w:val="right" w:leader="dot" w:pos="8306"/>
        </w:tabs>
        <w:rPr>
          <w:rFonts w:ascii="仿宋" w:hAnsi="仿宋" w:eastAsia="仿宋" w:cs="仿宋"/>
          <w:sz w:val="28"/>
          <w:szCs w:val="32"/>
        </w:rPr>
      </w:pPr>
      <w:r>
        <w:fldChar w:fldCharType="begin"/>
      </w:r>
      <w:r>
        <w:instrText xml:space="preserve"> HYPERLINK \l "_Toc7942" </w:instrText>
      </w:r>
      <w:r>
        <w:fldChar w:fldCharType="separate"/>
      </w:r>
      <w:r>
        <w:rPr>
          <w:rFonts w:hint="eastAsia" w:ascii="仿宋" w:hAnsi="仿宋" w:eastAsia="仿宋" w:cs="仿宋"/>
          <w:sz w:val="28"/>
          <w:szCs w:val="44"/>
        </w:rPr>
        <w:t>第七章 合同条款（仅中选后使用）</w:t>
      </w:r>
      <w:r>
        <w:rPr>
          <w:rFonts w:hint="eastAsia" w:ascii="仿宋" w:hAnsi="仿宋" w:eastAsia="仿宋" w:cs="仿宋"/>
          <w:sz w:val="28"/>
          <w:szCs w:val="32"/>
        </w:rPr>
        <w:tab/>
      </w:r>
      <w:r>
        <w:rPr>
          <w:rFonts w:hint="eastAsia" w:ascii="仿宋" w:hAnsi="仿宋" w:eastAsia="仿宋" w:cs="仿宋"/>
          <w:sz w:val="28"/>
          <w:szCs w:val="32"/>
        </w:rPr>
        <w:fldChar w:fldCharType="begin"/>
      </w:r>
      <w:r>
        <w:rPr>
          <w:rFonts w:hint="eastAsia" w:ascii="仿宋" w:hAnsi="仿宋" w:eastAsia="仿宋" w:cs="仿宋"/>
          <w:sz w:val="28"/>
          <w:szCs w:val="32"/>
        </w:rPr>
        <w:instrText xml:space="preserve"> PAGEREF _Toc7942 \h </w:instrText>
      </w:r>
      <w:r>
        <w:rPr>
          <w:rFonts w:hint="eastAsia" w:ascii="仿宋" w:hAnsi="仿宋" w:eastAsia="仿宋" w:cs="仿宋"/>
          <w:sz w:val="28"/>
          <w:szCs w:val="32"/>
        </w:rPr>
        <w:fldChar w:fldCharType="separate"/>
      </w:r>
      <w:r>
        <w:rPr>
          <w:rFonts w:hint="eastAsia" w:ascii="仿宋" w:hAnsi="仿宋" w:eastAsia="仿宋" w:cs="仿宋"/>
          <w:sz w:val="28"/>
          <w:szCs w:val="32"/>
        </w:rPr>
        <w:t>26</w:t>
      </w:r>
      <w:r>
        <w:rPr>
          <w:rFonts w:hint="eastAsia" w:ascii="仿宋" w:hAnsi="仿宋" w:eastAsia="仿宋" w:cs="仿宋"/>
          <w:sz w:val="28"/>
          <w:szCs w:val="32"/>
        </w:rPr>
        <w:fldChar w:fldCharType="end"/>
      </w:r>
      <w:r>
        <w:rPr>
          <w:rFonts w:hint="eastAsia" w:ascii="仿宋" w:hAnsi="仿宋" w:eastAsia="仿宋" w:cs="仿宋"/>
          <w:sz w:val="28"/>
          <w:szCs w:val="32"/>
        </w:rPr>
        <w:fldChar w:fldCharType="end"/>
      </w:r>
    </w:p>
    <w:p>
      <w:pPr>
        <w:pStyle w:val="12"/>
        <w:outlineLvl w:val="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2"/>
          <w:szCs w:val="22"/>
        </w:rPr>
        <w:fldChar w:fldCharType="end"/>
      </w:r>
    </w:p>
    <w:p>
      <w:pPr>
        <w:widowControl/>
        <w:numPr>
          <w:ilvl w:val="0"/>
          <w:numId w:val="2"/>
        </w:numPr>
        <w:spacing w:line="520" w:lineRule="exact"/>
        <w:jc w:val="center"/>
        <w:outlineLvl w:val="0"/>
        <w:rPr>
          <w:rFonts w:ascii="黑体" w:hAnsi="黑体" w:eastAsia="黑体" w:cs="黑体"/>
          <w:b/>
          <w:sz w:val="36"/>
          <w:szCs w:val="32"/>
        </w:rPr>
      </w:pPr>
      <w:bookmarkStart w:id="0" w:name="_Toc471310326"/>
      <w:bookmarkStart w:id="1" w:name="_Toc3240"/>
      <w:bookmarkStart w:id="2" w:name="_Toc24065"/>
      <w:bookmarkStart w:id="3" w:name="_Toc20358"/>
      <w:bookmarkStart w:id="4" w:name="_Toc62832406"/>
      <w:bookmarkStart w:id="5" w:name="_Toc1907"/>
      <w:r>
        <w:rPr>
          <w:rFonts w:hint="eastAsia" w:ascii="黑体" w:hAnsi="黑体" w:eastAsia="黑体" w:cs="黑体"/>
          <w:b/>
          <w:sz w:val="36"/>
          <w:szCs w:val="32"/>
        </w:rPr>
        <w:t>比选邀请</w:t>
      </w:r>
      <w:bookmarkEnd w:id="0"/>
      <w:bookmarkEnd w:id="1"/>
      <w:bookmarkEnd w:id="2"/>
      <w:bookmarkEnd w:id="3"/>
      <w:bookmarkEnd w:id="4"/>
      <w:bookmarkEnd w:id="5"/>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529"/>
        <w:gridCol w:w="68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52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878"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4"/>
              <w:numPr>
                <w:ilvl w:val="0"/>
                <w:numId w:val="3"/>
              </w:numPr>
              <w:tabs>
                <w:tab w:val="left" w:pos="220"/>
                <w:tab w:val="clear" w:pos="0"/>
              </w:tabs>
              <w:adjustRightInd w:val="0"/>
              <w:snapToGrid w:val="0"/>
              <w:jc w:val="both"/>
              <w:rPr>
                <w:rFonts w:ascii="仿宋" w:hAnsi="仿宋" w:eastAsia="仿宋" w:cs="仿宋"/>
                <w:szCs w:val="21"/>
                <w:lang w:val="zh-CN"/>
              </w:rPr>
            </w:pPr>
          </w:p>
        </w:tc>
        <w:tc>
          <w:tcPr>
            <w:tcW w:w="1529" w:type="dxa"/>
            <w:tcBorders>
              <w:bottom w:val="single" w:color="auto" w:sz="4" w:space="0"/>
            </w:tcBorders>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采购人</w:t>
            </w:r>
          </w:p>
        </w:tc>
        <w:tc>
          <w:tcPr>
            <w:tcW w:w="6878"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pPr>
              <w:pStyle w:val="24"/>
              <w:numPr>
                <w:ilvl w:val="0"/>
                <w:numId w:val="3"/>
              </w:numPr>
              <w:tabs>
                <w:tab w:val="left" w:pos="220"/>
                <w:tab w:val="clear" w:pos="0"/>
              </w:tabs>
              <w:adjustRightInd w:val="0"/>
              <w:snapToGrid w:val="0"/>
              <w:jc w:val="both"/>
              <w:rPr>
                <w:rFonts w:ascii="仿宋" w:hAnsi="仿宋" w:eastAsia="仿宋" w:cs="仿宋"/>
                <w:szCs w:val="21"/>
                <w:lang w:val="zh-CN"/>
              </w:rPr>
            </w:pPr>
          </w:p>
        </w:tc>
        <w:tc>
          <w:tcPr>
            <w:tcW w:w="1529" w:type="dxa"/>
            <w:tcBorders>
              <w:bottom w:val="single" w:color="auto" w:sz="4" w:space="0"/>
            </w:tcBorders>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项目名称</w:t>
            </w:r>
          </w:p>
        </w:tc>
        <w:tc>
          <w:tcPr>
            <w:tcW w:w="6878" w:type="dxa"/>
            <w:tcBorders>
              <w:bottom w:val="single" w:color="auto" w:sz="4" w:space="0"/>
            </w:tcBorders>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四川省人民医院四川省老年医学中心一期节能验收报告咨询服务项目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项目编号</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ascii="仿宋" w:hAnsi="仿宋" w:eastAsia="仿宋" w:cs="仿宋"/>
                <w:color w:val="000000" w:themeColor="text1"/>
                <w:sz w:val="22"/>
                <w14:textFill>
                  <w14:solidFill>
                    <w14:schemeClr w14:val="tx1"/>
                  </w14:solidFill>
                </w14:textFill>
              </w:rPr>
              <w:t>CGZX-HQB20224970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采购需求</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详见比选文件第四章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最高限价</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最高限价：5.5万元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超过最高限价的报价，其比选申请文件作无效处理。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邀请</w:t>
            </w:r>
            <w:r>
              <w:rPr>
                <w:rFonts w:hint="eastAsia" w:ascii="Times New Roman" w:hAnsi="Times New Roman" w:eastAsia="仿宋" w:cs="Times New Roman"/>
                <w:kern w:val="0"/>
                <w:sz w:val="22"/>
                <w:lang w:val="zh-CN"/>
              </w:rPr>
              <w:t>方式</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公开比选：四川省人民医院官方网站上以公告形式发布；</w:t>
            </w:r>
          </w:p>
          <w:p>
            <w:pPr>
              <w:spacing w:line="360" w:lineRule="auto"/>
              <w:ind w:left="210" w:leftChars="100"/>
              <w:rPr>
                <w:rFonts w:ascii="仿宋" w:hAnsi="仿宋" w:eastAsia="仿宋" w:cs="仿宋"/>
                <w:color w:val="000000" w:themeColor="text1"/>
                <w:sz w:val="22"/>
                <w:highlight w:val="yellow"/>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邀请比选：通过书面推荐意见，推荐符合相应资格条件的供应商参与本次采购活动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比选保证金</w:t>
            </w:r>
          </w:p>
        </w:tc>
        <w:tc>
          <w:tcPr>
            <w:tcW w:w="6878" w:type="dxa"/>
            <w:vAlign w:val="center"/>
          </w:tcPr>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联合体</w:t>
            </w:r>
          </w:p>
        </w:tc>
        <w:tc>
          <w:tcPr>
            <w:tcW w:w="6878"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接受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不接受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现场踏勘</w:t>
            </w:r>
          </w:p>
        </w:tc>
        <w:tc>
          <w:tcPr>
            <w:tcW w:w="6878" w:type="dxa"/>
            <w:vAlign w:val="center"/>
          </w:tcPr>
          <w:p>
            <w:pPr>
              <w:spacing w:line="360" w:lineRule="auto"/>
              <w:ind w:left="210" w:leftChars="100"/>
            </w:pPr>
            <w:r>
              <w:rPr>
                <w:rFonts w:hint="eastAsia" w:ascii="仿宋" w:hAnsi="仿宋" w:eastAsia="仿宋" w:cs="仿宋"/>
                <w:color w:val="000000" w:themeColor="text1"/>
                <w:sz w:val="22"/>
                <w14:textFill>
                  <w14:solidFill>
                    <w14:schemeClr w14:val="tx1"/>
                  </w14:solidFill>
                </w14:textFill>
              </w:rPr>
              <w:sym w:font="Wingdings" w:char="00A8"/>
            </w:r>
            <w:r>
              <w:rPr>
                <w:rFonts w:ascii="仿宋" w:hAnsi="仿宋" w:eastAsia="仿宋" w:cs="仿宋"/>
                <w:color w:val="000000" w:themeColor="text1"/>
                <w:sz w:val="22"/>
                <w14:textFill>
                  <w14:solidFill>
                    <w14:schemeClr w14:val="tx1"/>
                  </w14:solidFill>
                </w14:textFill>
              </w:rPr>
              <w:t xml:space="preserve">举行       </w:t>
            </w:r>
            <w:r>
              <w:rPr>
                <w:rFonts w:hint="eastAsia" w:ascii="仿宋" w:hAnsi="仿宋" w:eastAsia="仿宋" w:cs="仿宋"/>
                <w:color w:val="000000" w:themeColor="text1"/>
                <w:sz w:val="22"/>
                <w14:textFill>
                  <w14:solidFill>
                    <w14:schemeClr w14:val="tx1"/>
                  </w14:solidFill>
                </w14:textFill>
              </w:rPr>
              <w:sym w:font="Wingdings" w:char="00FE"/>
            </w:r>
            <w:r>
              <w:rPr>
                <w:rFonts w:ascii="仿宋" w:hAnsi="仿宋" w:eastAsia="仿宋" w:cs="仿宋"/>
                <w:color w:val="000000" w:themeColor="text1"/>
                <w:sz w:val="22"/>
                <w14:textFill>
                  <w14:solidFill>
                    <w14:schemeClr w14:val="tx1"/>
                  </w14:solidFill>
                </w14:textFill>
              </w:rPr>
              <w:t xml:space="preserve">不举行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答疑会</w:t>
            </w:r>
          </w:p>
        </w:tc>
        <w:tc>
          <w:tcPr>
            <w:tcW w:w="6878" w:type="dxa"/>
            <w:vAlign w:val="center"/>
          </w:tcPr>
          <w:p>
            <w:pPr>
              <w:spacing w:line="360" w:lineRule="auto"/>
              <w:ind w:left="210" w:leftChars="100"/>
              <w:rPr>
                <w:rFonts w:ascii="华文仿宋" w:hAnsi="华文仿宋" w:eastAsia="华文仿宋" w:cs="华文仿宋"/>
                <w:sz w:val="24"/>
                <w:szCs w:val="24"/>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color w:val="000000" w:themeColor="text1"/>
                <w:sz w:val="22"/>
                <w14:textFill>
                  <w14:solidFill>
                    <w14:schemeClr w14:val="tx1"/>
                  </w14:solidFill>
                </w14:textFill>
              </w:rPr>
              <w:t xml:space="preserve">组织       </w:t>
            </w: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 xml:space="preserve">不组织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履约保证金</w:t>
            </w:r>
          </w:p>
        </w:tc>
        <w:tc>
          <w:tcPr>
            <w:tcW w:w="6878" w:type="dxa"/>
            <w:vAlign w:val="center"/>
          </w:tcPr>
          <w:p>
            <w:pPr>
              <w:pStyle w:val="25"/>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 xml:space="preserve">收取       </w:t>
            </w:r>
            <w:r>
              <w:rPr>
                <w:rFonts w:hint="eastAsia" w:ascii="华文仿宋" w:hAnsi="华文仿宋" w:eastAsia="华文仿宋" w:cs="华文仿宋"/>
                <w:color w:val="000000" w:themeColor="text1"/>
                <w14:textFill>
                  <w14:solidFill>
                    <w14:schemeClr w14:val="tx1"/>
                  </w14:solidFill>
                </w14:textFill>
              </w:rPr>
              <w:sym w:font="Wingdings" w:char="00FE"/>
            </w:r>
            <w:r>
              <w:rPr>
                <w:rFonts w:hint="eastAsia" w:ascii="仿宋" w:hAnsi="仿宋" w:eastAsia="仿宋" w:cs="仿宋"/>
                <w:color w:val="000000" w:themeColor="text1"/>
                <w:sz w:val="22"/>
                <w:szCs w:val="22"/>
                <w14:textFill>
                  <w14:solidFill>
                    <w14:schemeClr w14:val="tx1"/>
                  </w14:solidFill>
                </w14:textFill>
              </w:rPr>
              <w:t xml:space="preserve">不收取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6"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评审方式</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b/>
                <w:bCs/>
                <w:color w:val="000000" w:themeColor="text1"/>
                <w:sz w:val="22"/>
                <w14:textFill>
                  <w14:solidFill>
                    <w14:schemeClr w14:val="tx1"/>
                  </w14:solidFill>
                </w14:textFill>
              </w:rPr>
              <w:t>综合评分法</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即供应商通过资格审查，且满足比选文件全部实质性要求，且按照评审因素的量化指标评审得分，</w:t>
            </w:r>
            <w:r>
              <w:rPr>
                <w:rFonts w:hint="eastAsia" w:ascii="仿宋" w:hAnsi="仿宋" w:eastAsia="仿宋" w:cs="仿宋"/>
                <w:b/>
                <w:bCs/>
                <w:color w:val="000000" w:themeColor="text1"/>
                <w:sz w:val="22"/>
                <w14:textFill>
                  <w14:solidFill>
                    <w14:schemeClr w14:val="tx1"/>
                  </w14:solidFill>
                </w14:textFill>
              </w:rPr>
              <w:t>综合得分最高</w:t>
            </w:r>
            <w:r>
              <w:rPr>
                <w:rFonts w:hint="eastAsia" w:ascii="仿宋" w:hAnsi="仿宋" w:eastAsia="仿宋" w:cs="仿宋"/>
                <w:color w:val="000000" w:themeColor="text1"/>
                <w:sz w:val="22"/>
                <w14:textFill>
                  <w14:solidFill>
                    <w14:schemeClr w14:val="tx1"/>
                  </w14:solidFill>
                </w14:textFill>
              </w:rPr>
              <w:t>的供应商为本项目的第一中选人，若得分相同则价格低的为中选人，若价格也相同则采取抽签的方式确定；</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A8"/>
            </w:r>
            <w:r>
              <w:rPr>
                <w:rFonts w:hint="eastAsia" w:ascii="仿宋" w:hAnsi="仿宋" w:eastAsia="仿宋" w:cs="仿宋"/>
                <w:b/>
                <w:bCs/>
                <w:color w:val="000000" w:themeColor="text1"/>
                <w:sz w:val="22"/>
                <w14:textFill>
                  <w14:solidFill>
                    <w14:schemeClr w14:val="tx1"/>
                  </w14:solidFill>
                </w14:textFill>
              </w:rPr>
              <w:t>最低价评审法</w:t>
            </w:r>
          </w:p>
          <w:p>
            <w:pPr>
              <w:spacing w:line="360" w:lineRule="auto"/>
              <w:ind w:left="210" w:leftChars="100"/>
              <w:rPr>
                <w:rFonts w:ascii="华文仿宋" w:hAnsi="华文仿宋" w:eastAsia="华文仿宋" w:cs="华文仿宋"/>
                <w:sz w:val="24"/>
                <w:szCs w:val="24"/>
              </w:rPr>
            </w:pPr>
            <w:r>
              <w:rPr>
                <w:rFonts w:hint="eastAsia" w:ascii="仿宋" w:hAnsi="仿宋" w:eastAsia="仿宋" w:cs="仿宋"/>
                <w:color w:val="000000" w:themeColor="text1"/>
                <w:sz w:val="22"/>
                <w14:textFill>
                  <w14:solidFill>
                    <w14:schemeClr w14:val="tx1"/>
                  </w14:solidFill>
                </w14:textFill>
              </w:rPr>
              <w:t>即供应商通过资格审查，且所有技术参数要求和商务要求均符合比选要求，评审小组按照有效报价进行详细评审，</w:t>
            </w:r>
            <w:r>
              <w:rPr>
                <w:rFonts w:hint="eastAsia" w:ascii="仿宋" w:hAnsi="仿宋" w:eastAsia="仿宋" w:cs="仿宋"/>
                <w:b/>
                <w:bCs/>
                <w:color w:val="000000" w:themeColor="text1"/>
                <w:sz w:val="22"/>
                <w14:textFill>
                  <w14:solidFill>
                    <w14:schemeClr w14:val="tx1"/>
                  </w14:solidFill>
                </w14:textFill>
              </w:rPr>
              <w:t>有效报价最低</w:t>
            </w:r>
            <w:r>
              <w:rPr>
                <w:rFonts w:hint="eastAsia" w:ascii="仿宋" w:hAnsi="仿宋" w:eastAsia="仿宋" w:cs="仿宋"/>
                <w:color w:val="000000" w:themeColor="text1"/>
                <w:sz w:val="22"/>
                <w14:textFill>
                  <w14:solidFill>
                    <w14:schemeClr w14:val="tx1"/>
                  </w14:solidFill>
                </w14:textFill>
              </w:rPr>
              <w:t>的供应商为本项目的第一中选人，若报价相同则采取随机抽取的方式确定中选人；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szCs w:val="21"/>
              </w:rPr>
            </w:pPr>
          </w:p>
        </w:tc>
        <w:tc>
          <w:tcPr>
            <w:tcW w:w="152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w:t>
            </w:r>
          </w:p>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获取方式</w:t>
            </w:r>
          </w:p>
        </w:tc>
        <w:tc>
          <w:tcPr>
            <w:tcW w:w="6878" w:type="dxa"/>
            <w:vAlign w:val="center"/>
          </w:tcPr>
          <w:p>
            <w:pPr>
              <w:pStyle w:val="25"/>
              <w:spacing w:line="360" w:lineRule="auto"/>
              <w:ind w:left="438" w:leftChars="104" w:hanging="220" w:hanging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供应商应通过：</w:t>
            </w:r>
          </w:p>
          <w:p>
            <w:pPr>
              <w:pStyle w:val="25"/>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四川省人民医院电子招标采购平台（网址http://cg.samsph.com）获取比选文件；本比选文件免费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kern w:val="0"/>
                <w:sz w:val="22"/>
              </w:rPr>
            </w:pPr>
          </w:p>
        </w:tc>
        <w:tc>
          <w:tcPr>
            <w:tcW w:w="152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提交比选申请文件方式</w:t>
            </w:r>
          </w:p>
        </w:tc>
        <w:tc>
          <w:tcPr>
            <w:tcW w:w="6878"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sym w:font="Wingdings" w:char="00FE"/>
            </w:r>
            <w:r>
              <w:rPr>
                <w:rFonts w:hint="eastAsia" w:ascii="仿宋" w:hAnsi="仿宋" w:eastAsia="仿宋" w:cs="仿宋"/>
                <w:color w:val="000000" w:themeColor="text1"/>
                <w:sz w:val="22"/>
                <w14:textFill>
                  <w14:solidFill>
                    <w14:schemeClr w14:val="tx1"/>
                  </w14:solidFill>
                </w14:textFill>
              </w:rPr>
              <w:t>线上提交：</w:t>
            </w:r>
          </w:p>
          <w:p>
            <w:pPr>
              <w:wordWrap w:val="0"/>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供应商应通过四川省人民医院电子招标采购平台（网址http://cg.samsph.com）提交比选申请文件；</w:t>
            </w:r>
          </w:p>
          <w:p>
            <w:pPr>
              <w:pStyle w:val="25"/>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sym w:font="Wingdings" w:char="00A8"/>
            </w:r>
            <w:r>
              <w:rPr>
                <w:rFonts w:hint="eastAsia" w:ascii="仿宋" w:hAnsi="仿宋" w:eastAsia="仿宋" w:cs="仿宋"/>
                <w:color w:val="000000" w:themeColor="text1"/>
                <w:sz w:val="22"/>
                <w:szCs w:val="22"/>
                <w14:textFill>
                  <w14:solidFill>
                    <w14:schemeClr w14:val="tx1"/>
                  </w14:solidFill>
                </w14:textFill>
              </w:rPr>
              <w:t>现场提交：</w:t>
            </w:r>
          </w:p>
          <w:p>
            <w:pPr>
              <w:pStyle w:val="25"/>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比选申请文件应在提交比选申请文件截止时间前送达比选地点；</w:t>
            </w:r>
          </w:p>
          <w:p>
            <w:pPr>
              <w:pStyle w:val="25"/>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文件份数：正本1份、副本2份</w:t>
            </w:r>
          </w:p>
          <w:p>
            <w:pPr>
              <w:pStyle w:val="25"/>
              <w:numPr>
                <w:ilvl w:val="0"/>
                <w:numId w:val="4"/>
              </w:numPr>
              <w:spacing w:line="360" w:lineRule="auto"/>
              <w:ind w:left="210" w:leftChars="100"/>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比选地点：XXXXXXXXX</w:t>
            </w:r>
          </w:p>
          <w:p>
            <w:pPr>
              <w:pStyle w:val="25"/>
              <w:spacing w:line="360" w:lineRule="auto"/>
              <w:ind w:left="218" w:leftChars="104"/>
              <w:jc w:val="both"/>
              <w:rPr>
                <w:rFonts w:ascii="仿宋" w:hAnsi="仿宋" w:eastAsia="仿宋" w:cs="仿宋"/>
                <w:b/>
                <w:bCs/>
                <w:color w:val="000000" w:themeColor="text1"/>
                <w:kern w:val="2"/>
                <w:sz w:val="20"/>
                <w:szCs w:val="20"/>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注：比选响应文件应在提交比选响应文件截止时间前提交；</w:t>
            </w:r>
          </w:p>
          <w:p>
            <w:pPr>
              <w:pStyle w:val="25"/>
              <w:spacing w:line="360" w:lineRule="auto"/>
              <w:ind w:left="218" w:leftChars="104"/>
              <w:jc w:val="both"/>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kern w:val="2"/>
                <w:sz w:val="20"/>
                <w:szCs w:val="20"/>
                <w14:textFill>
                  <w14:solidFill>
                    <w14:schemeClr w14:val="tx1"/>
                  </w14:solidFill>
                </w14:textFill>
              </w:rPr>
              <w:t>未按方式提交或逾期送达或没有密封的比选申请文件恕不接收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pPr>
              <w:pStyle w:val="24"/>
              <w:numPr>
                <w:ilvl w:val="0"/>
                <w:numId w:val="3"/>
              </w:numPr>
              <w:tabs>
                <w:tab w:val="left" w:pos="220"/>
                <w:tab w:val="clear" w:pos="0"/>
              </w:tabs>
              <w:adjustRightInd w:val="0"/>
              <w:snapToGrid w:val="0"/>
              <w:jc w:val="both"/>
              <w:rPr>
                <w:rFonts w:ascii="仿宋" w:hAnsi="仿宋" w:eastAsia="仿宋" w:cs="仿宋"/>
                <w:kern w:val="0"/>
                <w:sz w:val="22"/>
              </w:rPr>
            </w:pPr>
          </w:p>
        </w:tc>
        <w:tc>
          <w:tcPr>
            <w:tcW w:w="152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联系方式</w:t>
            </w:r>
          </w:p>
        </w:tc>
        <w:tc>
          <w:tcPr>
            <w:tcW w:w="6878"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（1）采购部门：招标采购中心</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联系方式：郑老师028-87393463</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（2）归口部门：后勤保障部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联系方式：陈老师028-87393727</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（3）监督部门：审计部</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联系方式：028-87394709</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（4）采购平台</w:t>
            </w:r>
            <w:r>
              <w:rPr>
                <w:rFonts w:hint="eastAsia" w:ascii="仿宋" w:hAnsi="仿宋" w:eastAsia="仿宋" w:cs="仿宋"/>
                <w:color w:val="000000" w:themeColor="text1"/>
                <w:sz w:val="22"/>
                <w14:textFill>
                  <w14:solidFill>
                    <w14:schemeClr w14:val="tx1"/>
                  </w14:solidFill>
                </w14:textFill>
              </w:rPr>
              <w:t>：隆道云400 0118 000，接通以后按1</w:t>
            </w:r>
          </w:p>
        </w:tc>
      </w:tr>
    </w:tbl>
    <w:p>
      <w:pPr>
        <w:pStyle w:val="21"/>
        <w:numPr>
          <w:ilvl w:val="4"/>
          <w:numId w:val="0"/>
        </w:numPr>
        <w:outlineLvl w:val="9"/>
      </w:pPr>
    </w:p>
    <w:p>
      <w:r>
        <w:br w:type="page"/>
      </w:r>
    </w:p>
    <w:p>
      <w:pPr>
        <w:widowControl/>
        <w:numPr>
          <w:ilvl w:val="0"/>
          <w:numId w:val="2"/>
        </w:numPr>
        <w:spacing w:line="520" w:lineRule="exact"/>
        <w:jc w:val="center"/>
        <w:outlineLvl w:val="0"/>
        <w:rPr>
          <w:rFonts w:ascii="黑体" w:hAnsi="黑体" w:eastAsia="黑体" w:cs="黑体"/>
          <w:b/>
          <w:sz w:val="36"/>
          <w:szCs w:val="32"/>
        </w:rPr>
      </w:pPr>
      <w:bookmarkStart w:id="6" w:name="_Toc27785"/>
      <w:bookmarkStart w:id="7" w:name="_Toc24154"/>
      <w:bookmarkStart w:id="8" w:name="_Toc14460"/>
      <w:r>
        <w:rPr>
          <w:rFonts w:hint="eastAsia" w:ascii="黑体" w:hAnsi="黑体" w:eastAsia="黑体" w:cs="黑体"/>
          <w:b/>
          <w:sz w:val="36"/>
          <w:szCs w:val="32"/>
        </w:rPr>
        <w:t>比选须知</w:t>
      </w:r>
      <w:bookmarkEnd w:id="6"/>
      <w:bookmarkEnd w:id="7"/>
      <w:bookmarkEnd w:id="8"/>
    </w:p>
    <w:tbl>
      <w:tblPr>
        <w:tblStyle w:val="17"/>
        <w:tblW w:w="918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66"/>
        <w:gridCol w:w="1909"/>
        <w:gridCol w:w="670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6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序号</w:t>
            </w:r>
          </w:p>
        </w:tc>
        <w:tc>
          <w:tcPr>
            <w:tcW w:w="1909"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应知事项</w:t>
            </w:r>
          </w:p>
        </w:tc>
        <w:tc>
          <w:tcPr>
            <w:tcW w:w="6706" w:type="dxa"/>
            <w:tcBorders>
              <w:top w:val="single" w:color="auto" w:sz="18" w:space="0"/>
            </w:tcBorders>
            <w:vAlign w:val="center"/>
          </w:tcPr>
          <w:p>
            <w:pPr>
              <w:spacing w:line="360" w:lineRule="auto"/>
              <w:jc w:val="center"/>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88"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（1）本比选统一使用人民币报价；</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（2）报价应是完成比选全部工作内容的价格体现，是最终用户验收合格后的总价，包含了供应商完成本项目所需的一切费用，即项目包干价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7"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比选申请</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文件编制要求</w:t>
            </w:r>
          </w:p>
        </w:tc>
        <w:tc>
          <w:tcPr>
            <w:tcW w:w="6706" w:type="dxa"/>
            <w:vAlign w:val="center"/>
          </w:tcPr>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（1）比选申请文件的格式</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人应仔细阅读本比选文件，按比选文件第六章“比选申请文件格式”进行编制，比选申请人在编制比选申请文件时应使用该章所附格式；该章未规定格式的，由比选申请人根据实际情况自主编制，但不得影响</w:t>
            </w:r>
            <w:r>
              <w:rPr>
                <w:rFonts w:hint="eastAsia" w:ascii="仿宋" w:hAnsi="仿宋" w:eastAsia="仿宋" w:cs="仿宋"/>
                <w:b/>
                <w:bCs/>
                <w:color w:val="000000" w:themeColor="text1"/>
                <w:sz w:val="22"/>
                <w14:textFill>
                  <w14:solidFill>
                    <w14:schemeClr w14:val="tx1"/>
                  </w14:solidFill>
                </w14:textFill>
              </w:rPr>
              <w:t>比选申请文件内容的完整性和有效性</w:t>
            </w:r>
            <w:r>
              <w:rPr>
                <w:rFonts w:hint="eastAsia" w:ascii="仿宋" w:hAnsi="仿宋" w:eastAsia="仿宋" w:cs="仿宋"/>
                <w:color w:val="000000" w:themeColor="text1"/>
                <w:sz w:val="22"/>
                <w14:textFill>
                  <w14:solidFill>
                    <w14:schemeClr w14:val="tx1"/>
                  </w14:solidFill>
                </w14:textFill>
              </w:rPr>
              <w:t>；比选申请人应在“比选申请文件格式”前附文件索引表、目录；</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（2）比选申请文件的语言</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比选人和比选申请人之间的所有函件往来必须使用汉语语言文字。比选申请文件中如附有外文资料，必须逐一对应翻译成中文并加盖比选申请人公章后附在相关外文资料后面，否则，所提供的外文资料将被视为无效材料（说明：比选申请人的法定代表人为外籍人士的，法定代表人的签字和护照除外）；</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2.翻译的中文资料与外文资料如果出现差异和矛盾时，以中文为准，如因未翻译而造成的无效，由比选申请人承担；</w:t>
            </w:r>
          </w:p>
          <w:p>
            <w:pPr>
              <w:spacing w:line="360" w:lineRule="auto"/>
              <w:ind w:left="210" w:leftChars="100"/>
              <w:rPr>
                <w:rFonts w:ascii="仿宋" w:hAnsi="仿宋" w:eastAsia="仿宋" w:cs="仿宋"/>
                <w:b/>
                <w:bCs/>
                <w:color w:val="000000" w:themeColor="text1"/>
                <w:sz w:val="22"/>
                <w14:textFill>
                  <w14:solidFill>
                    <w14:schemeClr w14:val="tx1"/>
                  </w14:solidFill>
                </w14:textFill>
              </w:rPr>
            </w:pPr>
            <w:r>
              <w:rPr>
                <w:rFonts w:hint="eastAsia" w:ascii="仿宋" w:hAnsi="仿宋" w:eastAsia="仿宋" w:cs="仿宋"/>
                <w:b/>
                <w:bCs/>
                <w:color w:val="000000" w:themeColor="text1"/>
                <w:sz w:val="22"/>
                <w14:textFill>
                  <w14:solidFill>
                    <w14:schemeClr w14:val="tx1"/>
                  </w14:solidFill>
                </w14:textFill>
              </w:rPr>
              <w:t>（3）比选申请文件的签署、盖章</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比选申请文件应根据比选文件的要求签署、盖章；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（1）采购人将根据实际情况，在评审现场确定是否与供应商进行谈判和磋商；</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（2）若合格供应商不足两家（不含），将直接与合格的供应商进行谈判和磋商；</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项目评审当天，供应商应保证比选申请文件中所写明的法定代表人或委托代理人的联系方式的畅通，并确保其具备与采购人就本项目进行沟通、磋商及在四川省人民医院电子招标采购平台上进行操作等条件；</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4）比选当天，供应商应保证比选文件中所写明的法定代表人或委托代理人的联系方式（手机或邮箱）的畅通，并确保其具备与采购人就本项目进行谈判、磋商及在我单位使用的电子化招采平台上进行操作等条件（在接到通知后的在评审委员会规定时间内未回复做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1"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（1）供应商参选货物均为经检验合格的生产厂家原装全新合格产品，供应商承诺的质量、技术和其他要求，符合国家相关的质量标准和出厂标准并提供产品合格证；</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（2）若出现质量问题，供应商负责按照采购人要求办理退货并承担因货物质量导致的经济和法律责任；</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（3）国家或行业主管部门对供应商和采购产品的技术标准、质量标准和资格资质条件等有强制性规定的，应当符合其要求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65"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符合本</w:t>
            </w:r>
            <w:r>
              <w:rPr>
                <w:rFonts w:hint="eastAsia" w:ascii="仿宋" w:hAnsi="仿宋" w:eastAsia="仿宋" w:cs="仿宋"/>
                <w:color w:val="000000" w:themeColor="text1"/>
                <w:sz w:val="22"/>
                <w14:textFill>
                  <w14:solidFill>
                    <w14:schemeClr w14:val="tx1"/>
                  </w14:solidFill>
                </w14:textFill>
              </w:rPr>
              <w:t>比选</w:t>
            </w:r>
            <w:r>
              <w:rPr>
                <w:rFonts w:hint="eastAsia" w:ascii="仿宋" w:hAnsi="仿宋" w:eastAsia="仿宋" w:cs="仿宋"/>
                <w:color w:val="000000" w:themeColor="text1"/>
                <w:sz w:val="22"/>
                <w:lang w:val="zh-TW" w:eastAsia="zh-TW"/>
                <w14:textFill>
                  <w14:solidFill>
                    <w14:schemeClr w14:val="tx1"/>
                  </w14:solidFill>
                </w14:textFill>
              </w:rPr>
              <w:t>文件及采购人承诺的质量、技术和其他要求，符合国家相关的质量标准和出厂标准</w:t>
            </w:r>
            <w:r>
              <w:rPr>
                <w:rFonts w:hint="eastAsia" w:ascii="仿宋" w:hAnsi="仿宋" w:eastAsia="仿宋" w:cs="仿宋"/>
                <w:color w:val="000000" w:themeColor="text1"/>
                <w:sz w:val="22"/>
                <w:lang w:val="zh-TW"/>
                <w14:textFill>
                  <w14:solidFill>
                    <w14:schemeClr w14:val="tx1"/>
                  </w14:solidFill>
                </w14:textFill>
              </w:rPr>
              <w:t>；</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lang w:val="zh-TW" w:eastAsia="zh-TW"/>
                <w14:textFill>
                  <w14:solidFill>
                    <w14:schemeClr w14:val="tx1"/>
                  </w14:solidFill>
                </w14:textFill>
              </w:rPr>
              <w:t>国家或行业主管部门对</w:t>
            </w:r>
            <w:r>
              <w:rPr>
                <w:rFonts w:hint="eastAsia" w:ascii="仿宋" w:hAnsi="仿宋" w:eastAsia="仿宋" w:cs="仿宋"/>
                <w:color w:val="000000" w:themeColor="text1"/>
                <w:sz w:val="22"/>
                <w:lang w:val="zh-TW"/>
                <w14:textFill>
                  <w14:solidFill>
                    <w14:schemeClr w14:val="tx1"/>
                  </w14:solidFill>
                </w14:textFill>
              </w:rPr>
              <w:t>供应商</w:t>
            </w:r>
            <w:r>
              <w:rPr>
                <w:rFonts w:hint="eastAsia" w:ascii="仿宋" w:hAnsi="仿宋" w:eastAsia="仿宋" w:cs="仿宋"/>
                <w:color w:val="000000" w:themeColor="text1"/>
                <w:sz w:val="22"/>
                <w:lang w:val="zh-TW" w:eastAsia="zh-TW"/>
                <w14:textFill>
                  <w14:solidFill>
                    <w14:schemeClr w14:val="tx1"/>
                  </w14:solidFill>
                </w14:textFill>
              </w:rPr>
              <w:t>和</w:t>
            </w:r>
            <w:r>
              <w:rPr>
                <w:rFonts w:hint="eastAsia" w:ascii="仿宋" w:hAnsi="仿宋" w:eastAsia="仿宋" w:cs="仿宋"/>
                <w:color w:val="000000" w:themeColor="text1"/>
                <w:sz w:val="22"/>
                <w14:textFill>
                  <w14:solidFill>
                    <w14:schemeClr w14:val="tx1"/>
                  </w14:solidFill>
                </w14:textFill>
              </w:rPr>
              <w:t>服务</w:t>
            </w:r>
            <w:r>
              <w:rPr>
                <w:rFonts w:hint="eastAsia" w:ascii="仿宋" w:hAnsi="仿宋" w:eastAsia="仿宋" w:cs="仿宋"/>
                <w:color w:val="000000" w:themeColor="text1"/>
                <w:sz w:val="22"/>
                <w:lang w:val="zh-TW" w:eastAsia="zh-TW"/>
                <w14:textFill>
                  <w14:solidFill>
                    <w14:schemeClr w14:val="tx1"/>
                  </w14:solidFill>
                </w14:textFill>
              </w:rPr>
              <w:t>的技术标准和资格资质条件等有强制性规定的，应当符合其要求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28"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70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1</w:t>
            </w:r>
            <w:r>
              <w:rPr>
                <w:rFonts w:hint="eastAsia" w:ascii="仿宋" w:hAnsi="仿宋" w:eastAsia="仿宋" w:cs="仿宋"/>
                <w:color w:val="000000" w:themeColor="text1"/>
                <w:sz w:val="22"/>
                <w:lang w:val="zh-TW"/>
                <w14:textFill>
                  <w14:solidFill>
                    <w14:schemeClr w14:val="tx1"/>
                  </w14:solidFill>
                </w14:textFill>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2</w:t>
            </w:r>
            <w:r>
              <w:rPr>
                <w:rFonts w:hint="eastAsia" w:ascii="仿宋" w:hAnsi="仿宋" w:eastAsia="仿宋" w:cs="仿宋"/>
                <w:color w:val="000000" w:themeColor="text1"/>
                <w:sz w:val="22"/>
                <w:lang w:val="zh-TW"/>
                <w14:textFill>
                  <w14:solidFill>
                    <w14:schemeClr w14:val="tx1"/>
                  </w14:solidFill>
                </w14:textFill>
              </w:rPr>
              <w:t>）供应商将在比选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w:t>
            </w:r>
            <w:r>
              <w:rPr>
                <w:rFonts w:hint="eastAsia" w:ascii="仿宋" w:hAnsi="仿宋" w:eastAsia="仿宋" w:cs="仿宋"/>
                <w:color w:val="000000" w:themeColor="text1"/>
                <w:sz w:val="22"/>
                <w14:textFill>
                  <w14:solidFill>
                    <w14:schemeClr w14:val="tx1"/>
                  </w14:solidFill>
                </w14:textFill>
              </w:rPr>
              <w:t>3</w:t>
            </w:r>
            <w:r>
              <w:rPr>
                <w:rFonts w:hint="eastAsia" w:ascii="仿宋" w:hAnsi="仿宋" w:eastAsia="仿宋" w:cs="仿宋"/>
                <w:color w:val="000000" w:themeColor="text1"/>
                <w:sz w:val="22"/>
                <w:lang w:val="zh-TW"/>
                <w14:textFill>
                  <w14:solidFill>
                    <w14:schemeClr w14:val="tx1"/>
                  </w14:solidFill>
                </w14:textFill>
              </w:rPr>
              <w:t>）如采用供应商所不拥有的知识产权，则在报价中必须包括合法获取该知识产权的相关费用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2"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医疗耗材</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时效要求</w:t>
            </w:r>
          </w:p>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（若涉及）</w:t>
            </w:r>
          </w:p>
        </w:tc>
        <w:tc>
          <w:tcPr>
            <w:tcW w:w="6706" w:type="dxa"/>
            <w:vAlign w:val="center"/>
          </w:tcPr>
          <w:p>
            <w:pPr>
              <w:spacing w:line="360" w:lineRule="auto"/>
              <w:ind w:left="210" w:leftChars="100"/>
              <w:rPr>
                <w:rFonts w:ascii="仿宋" w:hAnsi="仿宋" w:eastAsia="仿宋" w:cs="仿宋"/>
                <w:color w:val="000000" w:themeColor="text1"/>
                <w:sz w:val="22"/>
                <w:lang w:val="zh-TW"/>
                <w14:textFill>
                  <w14:solidFill>
                    <w14:schemeClr w14:val="tx1"/>
                  </w14:solidFill>
                </w14:textFill>
              </w:rPr>
            </w:pPr>
            <w:r>
              <w:rPr>
                <w:rFonts w:hint="eastAsia" w:ascii="仿宋" w:hAnsi="仿宋" w:eastAsia="仿宋" w:cs="仿宋"/>
                <w:color w:val="000000" w:themeColor="text1"/>
                <w:sz w:val="22"/>
                <w:lang w:val="zh-TW"/>
                <w14:textFill>
                  <w14:solidFill>
                    <w14:schemeClr w14:val="tx1"/>
                  </w14:solidFill>
                </w14:textFill>
              </w:rPr>
              <w:t>根据临床科室使用，对所供医用耗材应备足货源，确保需求。对于我院临时采购计划，应当在指定时间内供货到指定位置。急诊或急救耗材</w:t>
            </w:r>
            <w:r>
              <w:rPr>
                <w:rFonts w:hint="eastAsia" w:ascii="仿宋" w:hAnsi="仿宋" w:eastAsia="仿宋" w:cs="仿宋"/>
                <w:color w:val="000000" w:themeColor="text1"/>
                <w:sz w:val="22"/>
                <w14:textFill>
                  <w14:solidFill>
                    <w14:schemeClr w14:val="tx1"/>
                  </w14:solidFill>
                </w14:textFill>
              </w:rPr>
              <w:t>供应商</w:t>
            </w:r>
            <w:r>
              <w:rPr>
                <w:rFonts w:hint="eastAsia" w:ascii="仿宋" w:hAnsi="仿宋" w:eastAsia="仿宋" w:cs="仿宋"/>
                <w:color w:val="000000" w:themeColor="text1"/>
                <w:sz w:val="22"/>
                <w:lang w:val="zh-TW"/>
                <w14:textFill>
                  <w14:solidFill>
                    <w14:schemeClr w14:val="tx1"/>
                  </w14:solidFill>
                </w14:textFill>
              </w:rPr>
              <w:t>必须保证随时供货，不得因供货不及时影响</w:t>
            </w:r>
            <w:r>
              <w:rPr>
                <w:rFonts w:hint="eastAsia" w:ascii="仿宋" w:hAnsi="仿宋" w:eastAsia="仿宋" w:cs="仿宋"/>
                <w:color w:val="000000" w:themeColor="text1"/>
                <w:sz w:val="22"/>
                <w14:textFill>
                  <w14:solidFill>
                    <w14:schemeClr w14:val="tx1"/>
                  </w14:solidFill>
                </w14:textFill>
              </w:rPr>
              <w:t>采购人</w:t>
            </w:r>
            <w:r>
              <w:rPr>
                <w:rFonts w:hint="eastAsia" w:ascii="仿宋" w:hAnsi="仿宋" w:eastAsia="仿宋" w:cs="仿宋"/>
                <w:color w:val="000000" w:themeColor="text1"/>
                <w:sz w:val="22"/>
                <w:lang w:val="zh-TW"/>
                <w14:textFill>
                  <w14:solidFill>
                    <w14:schemeClr w14:val="tx1"/>
                  </w14:solidFill>
                </w14:textFill>
              </w:rPr>
              <w:t>正常医疗工作</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706" w:type="dxa"/>
            <w:vAlign w:val="center"/>
          </w:tcPr>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（1）供应商在采购活动中，不得有任何违法乱纪的行为；</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（2）若比选申请文件存在虚假响应在评审阶段，评审小组应将该比选申请文件作无效处理，若是中选后发现的，采购人应当取消其中选资格；</w:t>
            </w:r>
          </w:p>
          <w:p>
            <w:pPr>
              <w:spacing w:line="360" w:lineRule="auto"/>
              <w:ind w:left="210" w:leftChars="100"/>
              <w:rPr>
                <w:rFonts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（3）采购人将对上述行为在其官方网站对相关情况进行通报同时追究其相关法律责任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706" w:type="dxa"/>
            <w:vAlign w:val="center"/>
          </w:tcPr>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706" w:type="dxa"/>
            <w:vAlign w:val="center"/>
          </w:tcPr>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自本项目采购公告发布之日起5个工作日内，结果公告发布之日起1个工作日内通过书面形式或隆道云系统线下提交或线上提交；</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pPr>
              <w:pStyle w:val="25"/>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5"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中选公告</w:t>
            </w:r>
          </w:p>
        </w:tc>
        <w:tc>
          <w:tcPr>
            <w:tcW w:w="6706" w:type="dxa"/>
            <w:vAlign w:val="center"/>
          </w:tcPr>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（1）比选完成后，采购人在系统中发出中选公告；</w:t>
            </w:r>
          </w:p>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（2）请中选供应商在中选公告发出一个工作日后，联系招标采购中心合同组（028-87394783）并将合同初稿发送至邮箱zbcgzxhtz@med.uestc.edu.cn</w:t>
            </w:r>
          </w:p>
          <w:p>
            <w:pPr>
              <w:pStyle w:val="25"/>
              <w:wordWrap w:val="0"/>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b/>
                <w:bCs/>
                <w:sz w:val="22"/>
                <w:szCs w:val="22"/>
                <w:lang w:val="zh-CN"/>
              </w:rPr>
              <w:t>若中选人以非正当理由放弃中选，在3年内不</w:t>
            </w:r>
            <w:r>
              <w:rPr>
                <w:rFonts w:hint="eastAsia" w:ascii="Times New Roman" w:hAnsi="Times New Roman" w:eastAsia="仿宋" w:cs="Times New Roman"/>
                <w:b/>
                <w:bCs/>
                <w:sz w:val="22"/>
                <w:szCs w:val="22"/>
              </w:rPr>
              <w:t>得</w:t>
            </w:r>
            <w:r>
              <w:rPr>
                <w:rFonts w:hint="eastAsia" w:ascii="Times New Roman" w:hAnsi="Times New Roman" w:eastAsia="仿宋" w:cs="Times New Roman"/>
                <w:b/>
                <w:bCs/>
                <w:sz w:val="22"/>
                <w:szCs w:val="22"/>
                <w:lang w:val="zh-CN"/>
              </w:rPr>
              <w:t>参与本单位的比选申请。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66" w:type="dxa"/>
            <w:vAlign w:val="center"/>
          </w:tcPr>
          <w:p>
            <w:pPr>
              <w:pStyle w:val="24"/>
              <w:numPr>
                <w:ilvl w:val="0"/>
                <w:numId w:val="5"/>
              </w:numPr>
              <w:tabs>
                <w:tab w:val="left" w:pos="220"/>
              </w:tabs>
              <w:adjustRightInd w:val="0"/>
              <w:snapToGrid w:val="0"/>
              <w:rPr>
                <w:rFonts w:ascii="仿宋" w:hAnsi="仿宋" w:eastAsia="仿宋" w:cs="仿宋"/>
                <w:szCs w:val="21"/>
              </w:rPr>
            </w:pPr>
          </w:p>
        </w:tc>
        <w:tc>
          <w:tcPr>
            <w:tcW w:w="1909" w:type="dxa"/>
            <w:vAlign w:val="center"/>
          </w:tcPr>
          <w:p>
            <w:pPr>
              <w:pStyle w:val="25"/>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706" w:type="dxa"/>
            <w:vAlign w:val="center"/>
          </w:tcPr>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无论比选结果，供应商的</w:t>
            </w:r>
            <w:r>
              <w:rPr>
                <w:rFonts w:hint="eastAsia" w:ascii="Times New Roman" w:hAnsi="Times New Roman" w:eastAsia="仿宋" w:cs="Times New Roman"/>
                <w:sz w:val="22"/>
                <w:szCs w:val="22"/>
              </w:rPr>
              <w:t>比选申请</w:t>
            </w:r>
            <w:r>
              <w:rPr>
                <w:rFonts w:hint="eastAsia" w:ascii="Times New Roman" w:hAnsi="Times New Roman" w:eastAsia="仿宋" w:cs="Times New Roman"/>
                <w:sz w:val="22"/>
                <w:szCs w:val="22"/>
                <w:lang w:val="zh-CN"/>
              </w:rPr>
              <w:t>文件</w:t>
            </w:r>
            <w:r>
              <w:rPr>
                <w:rFonts w:hint="eastAsia" w:ascii="Times New Roman" w:hAnsi="Times New Roman" w:eastAsia="仿宋" w:cs="Times New Roman"/>
                <w:sz w:val="22"/>
                <w:szCs w:val="22"/>
              </w:rPr>
              <w:t>不予撤回</w:t>
            </w:r>
            <w:r>
              <w:rPr>
                <w:rFonts w:hint="eastAsia" w:ascii="Times New Roman" w:hAnsi="Times New Roman" w:eastAsia="仿宋" w:cs="Times New Roman"/>
                <w:sz w:val="22"/>
                <w:szCs w:val="22"/>
                <w:lang w:val="zh-CN"/>
              </w:rPr>
              <w:t>，参选产生的一切费用由供应商自行承担；</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本比选的第一章、第二章均为实质性要求，供应商应当符合；</w:t>
            </w:r>
          </w:p>
          <w:p>
            <w:pPr>
              <w:pStyle w:val="25"/>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“采购人”系指本次组织比选的四川省人民医院；</w:t>
            </w:r>
          </w:p>
          <w:p>
            <w:pPr>
              <w:pStyle w:val="25"/>
              <w:numPr>
                <w:ilvl w:val="0"/>
                <w:numId w:val="6"/>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“供应商”“比选申请人”“参选人”获取了比选文件拟参加比选和向采购人提供货物及相应服务的供应商；</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pPr>
              <w:pStyle w:val="25"/>
              <w:numPr>
                <w:ilvl w:val="0"/>
                <w:numId w:val="6"/>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9" w:name="_Toc5333"/>
      <w:bookmarkStart w:id="10" w:name="_Toc28050"/>
      <w:bookmarkStart w:id="11" w:name="_Toc19400"/>
      <w:r>
        <w:rPr>
          <w:rFonts w:hint="eastAsia" w:ascii="黑体" w:hAnsi="黑体" w:eastAsia="黑体" w:cs="黑体"/>
          <w:b/>
          <w:sz w:val="36"/>
          <w:szCs w:val="32"/>
        </w:rPr>
        <w:t xml:space="preserve"> 供应商资格审查及符合性审查</w:t>
      </w:r>
      <w:bookmarkEnd w:id="9"/>
      <w:bookmarkEnd w:id="10"/>
      <w:bookmarkEnd w:id="11"/>
    </w:p>
    <w:p>
      <w:pPr>
        <w:pStyle w:val="2"/>
        <w:ind w:firstLine="3253" w:firstLineChars="900"/>
        <w:rPr>
          <w:rFonts w:ascii="黑体" w:hAnsi="黑体" w:eastAsia="黑体" w:cs="黑体"/>
          <w:b/>
          <w:sz w:val="36"/>
          <w:szCs w:val="32"/>
        </w:rPr>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pPr>
              <w:jc w:val="center"/>
              <w:rPr>
                <w:rFonts w:ascii="仿宋" w:hAnsi="仿宋" w:eastAsia="仿宋" w:cs="仿宋"/>
                <w:b/>
                <w:sz w:val="22"/>
              </w:rPr>
            </w:pPr>
            <w:r>
              <w:rPr>
                <w:rFonts w:ascii="等线" w:hAnsi="等线" w:eastAsia="仿宋"/>
                <w:b/>
                <w:color w:val="000000" w:themeColor="text1"/>
                <w:sz w:val="22"/>
                <w14:textFill>
                  <w14:solidFill>
                    <w14:schemeClr w14:val="tx1"/>
                  </w14:solidFill>
                </w14:textFill>
              </w:rPr>
              <w:t>具有独立承担民事责任的能力</w:t>
            </w:r>
          </w:p>
        </w:tc>
        <w:tc>
          <w:tcPr>
            <w:tcW w:w="4398" w:type="dxa"/>
            <w:vAlign w:val="center"/>
          </w:tcPr>
          <w:p>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pPr>
              <w:rPr>
                <w:rFonts w:ascii="仿宋" w:hAnsi="仿宋" w:eastAsia="仿宋" w:cs="仿宋"/>
              </w:rPr>
            </w:pPr>
            <w:r>
              <w:rPr>
                <w:rFonts w:hint="eastAsia" w:ascii="仿宋" w:hAnsi="仿宋" w:eastAsia="仿宋" w:cs="仿宋"/>
              </w:rPr>
              <w:t>（3）若为其他组织：提供“对应主管部门颁发的准许执业证明文件或营业执照”；</w:t>
            </w:r>
          </w:p>
          <w:p>
            <w:r>
              <w:rPr>
                <w:rFonts w:hint="eastAsia" w:ascii="仿宋" w:hAnsi="仿宋" w:eastAsia="仿宋" w:cs="仿宋"/>
              </w:rPr>
              <w:t>（4）若为自然人：提供“身份证明材料”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pPr>
              <w:jc w:val="center"/>
              <w:rPr>
                <w:rFonts w:ascii="仿宋" w:hAnsi="仿宋" w:eastAsia="仿宋" w:cs="仿宋"/>
                <w:b/>
                <w:sz w:val="22"/>
              </w:rPr>
            </w:pPr>
            <w:r>
              <w:rPr>
                <w:rFonts w:ascii="仿宋" w:hAnsi="仿宋" w:eastAsia="仿宋"/>
                <w:b/>
                <w:color w:val="000000" w:themeColor="text1"/>
                <w:sz w:val="22"/>
                <w14:textFill>
                  <w14:solidFill>
                    <w14:schemeClr w14:val="tx1"/>
                  </w14:solidFill>
                </w14:textFill>
              </w:rPr>
              <w:t>具有健全的财务会计制度</w:t>
            </w:r>
          </w:p>
        </w:tc>
        <w:tc>
          <w:tcPr>
            <w:tcW w:w="4398" w:type="dxa"/>
            <w:vAlign w:val="center"/>
          </w:tcPr>
          <w:p>
            <w:pPr>
              <w:rPr>
                <w:rFonts w:ascii="仿宋" w:hAnsi="仿宋" w:eastAsia="仿宋" w:cs="仿宋"/>
                <w:sz w:val="22"/>
              </w:rPr>
            </w:pPr>
            <w:r>
              <w:rPr>
                <w:rFonts w:hint="eastAsia" w:ascii="仿宋" w:hAnsi="仿宋" w:eastAsia="仿宋" w:cs="仿宋"/>
                <w:sz w:val="22"/>
              </w:rPr>
              <w:t>供应商根据自身情况选择提供其中任意一项：</w:t>
            </w:r>
          </w:p>
          <w:p>
            <w:pPr>
              <w:rPr>
                <w:rFonts w:ascii="仿宋" w:hAnsi="仿宋" w:eastAsia="仿宋" w:cs="仿宋"/>
                <w:sz w:val="22"/>
              </w:rPr>
            </w:pPr>
            <w:r>
              <w:rPr>
                <w:rFonts w:hint="eastAsia" w:ascii="仿宋" w:hAnsi="仿宋" w:eastAsia="仿宋" w:cs="仿宋"/>
                <w:sz w:val="22"/>
              </w:rPr>
              <w:t>（1）可提供截至比选申请文件提交截止日前两个年度任意一个年度经审计的财务报告复印件（包含审计报告和审计报告中所涉及的财务报表和报表附注）；</w:t>
            </w:r>
          </w:p>
          <w:p>
            <w:pPr>
              <w:rPr>
                <w:rFonts w:ascii="仿宋" w:hAnsi="仿宋" w:eastAsia="仿宋" w:cs="仿宋"/>
                <w:sz w:val="22"/>
              </w:rPr>
            </w:pPr>
            <w:r>
              <w:rPr>
                <w:rFonts w:hint="eastAsia" w:ascii="仿宋" w:hAnsi="仿宋" w:eastAsia="仿宋" w:cs="仿宋"/>
                <w:sz w:val="22"/>
              </w:rPr>
              <w:t>（2）也可提供截比选申请文件提交截止日前两个年度任意一个年度供应商内部的财务报表复印件（至少包含资产负债表）；</w:t>
            </w:r>
          </w:p>
          <w:p>
            <w:pPr>
              <w:rPr>
                <w:rFonts w:ascii="仿宋" w:hAnsi="仿宋" w:eastAsia="仿宋" w:cs="仿宋"/>
                <w:sz w:val="22"/>
              </w:rPr>
            </w:pPr>
            <w:r>
              <w:rPr>
                <w:rFonts w:hint="eastAsia" w:ascii="仿宋" w:hAnsi="仿宋" w:eastAsia="仿宋" w:cs="仿宋"/>
                <w:sz w:val="22"/>
              </w:rPr>
              <w:t>（3）也可提供截至提交比选申请文件截止日一年内银行出具的资信证明；</w:t>
            </w:r>
          </w:p>
          <w:p>
            <w:pPr>
              <w:rPr>
                <w:rFonts w:ascii="仿宋" w:hAnsi="仿宋" w:eastAsia="仿宋" w:cs="仿宋"/>
                <w:sz w:val="22"/>
              </w:rPr>
            </w:pPr>
            <w:r>
              <w:rPr>
                <w:rFonts w:hint="eastAsia" w:ascii="仿宋" w:hAnsi="仿宋" w:eastAsia="仿宋" w:cs="仿宋"/>
                <w:sz w:val="22"/>
              </w:rPr>
              <w:t>（4）供应商注册时间截至提交投标文件截止日不足一年的，也可提供工商管理部门备案的公司章程；</w:t>
            </w:r>
          </w:p>
          <w:p>
            <w:pPr>
              <w:rPr>
                <w:rFonts w:ascii="仿宋" w:hAnsi="仿宋" w:eastAsia="仿宋" w:cs="仿宋"/>
                <w:sz w:val="22"/>
              </w:rPr>
            </w:pPr>
            <w:r>
              <w:rPr>
                <w:rFonts w:hint="eastAsia" w:ascii="仿宋" w:hAnsi="仿宋" w:eastAsia="仿宋" w:cs="仿宋"/>
                <w:sz w:val="22"/>
              </w:rPr>
              <w:t>（5）供应商为个体工商户或自然人时，可提供承诺函</w:t>
            </w:r>
          </w:p>
        </w:tc>
        <w:tc>
          <w:tcPr>
            <w:tcW w:w="902" w:type="dxa"/>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具有履行合同所必需的设备和专业技术能力</w:t>
            </w:r>
          </w:p>
        </w:tc>
        <w:tc>
          <w:tcPr>
            <w:tcW w:w="4398" w:type="dxa"/>
            <w:vMerge w:val="restart"/>
            <w:vAlign w:val="center"/>
          </w:tcPr>
          <w:p>
            <w:pPr>
              <w:jc w:val="center"/>
              <w:rPr>
                <w:rFonts w:ascii="仿宋" w:hAnsi="仿宋" w:eastAsia="仿宋" w:cs="仿宋"/>
                <w:color w:val="000000"/>
                <w:sz w:val="22"/>
              </w:rPr>
            </w:pPr>
            <w:r>
              <w:rPr>
                <w:rFonts w:hint="eastAsia" w:ascii="仿宋" w:hAnsi="仿宋" w:eastAsia="仿宋" w:cs="仿宋"/>
                <w:color w:val="000000"/>
                <w:sz w:val="22"/>
              </w:rPr>
              <w:t>统一提供承诺函</w:t>
            </w:r>
          </w:p>
          <w:p>
            <w:pPr>
              <w:jc w:val="center"/>
              <w:rPr>
                <w:rFonts w:ascii="仿宋" w:hAnsi="仿宋" w:eastAsia="仿宋" w:cs="仿宋"/>
                <w:color w:val="000000"/>
                <w:sz w:val="22"/>
              </w:rPr>
            </w:pPr>
            <w:r>
              <w:rPr>
                <w:rFonts w:hint="eastAsia" w:ascii="仿宋" w:hAnsi="仿宋" w:eastAsia="仿宋" w:cs="仿宋"/>
                <w:color w:val="000000"/>
                <w:sz w:val="22"/>
              </w:rPr>
              <w:t>(注：格式见第六章承诺函)</w:t>
            </w:r>
          </w:p>
        </w:tc>
        <w:tc>
          <w:tcPr>
            <w:tcW w:w="902" w:type="dxa"/>
            <w:vMerge w:val="restart"/>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有依法缴纳税收和社会保障资金的良好记录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pPr>
              <w:spacing w:line="360" w:lineRule="auto"/>
              <w:jc w:val="center"/>
              <w:rPr>
                <w:rFonts w:ascii="仿宋" w:hAnsi="仿宋" w:eastAsia="仿宋"/>
                <w:b/>
                <w:color w:val="000000" w:themeColor="text1"/>
                <w:sz w:val="22"/>
                <w14:textFill>
                  <w14:solidFill>
                    <w14:schemeClr w14:val="tx1"/>
                  </w14:solidFill>
                </w14:textFill>
              </w:rPr>
            </w:pPr>
            <w:r>
              <w:rPr>
                <w:rFonts w:ascii="仿宋" w:hAnsi="仿宋" w:eastAsia="仿宋"/>
                <w:b/>
                <w:color w:val="000000" w:themeColor="text1"/>
                <w:sz w:val="22"/>
                <w14:textFill>
                  <w14:solidFill>
                    <w14:schemeClr w14:val="tx1"/>
                  </w14:solidFill>
                </w14:textFill>
              </w:rPr>
              <w:t>具有良好的商业信誉</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pPr>
              <w:spacing w:line="360" w:lineRule="auto"/>
              <w:jc w:val="center"/>
              <w:rPr>
                <w:rFonts w:ascii="仿宋" w:hAnsi="仿宋" w:eastAsia="仿宋" w:cs="仿宋"/>
                <w:b/>
                <w:color w:val="000000"/>
                <w:sz w:val="22"/>
              </w:rPr>
            </w:pPr>
            <w:r>
              <w:rPr>
                <w:rFonts w:hint="eastAsia" w:ascii="仿宋" w:hAnsi="仿宋" w:eastAsia="仿宋"/>
                <w:b/>
                <w:color w:val="000000" w:themeColor="text1"/>
                <w:sz w:val="22"/>
                <w14:textFill>
                  <w14:solidFill>
                    <w14:schemeClr w14:val="tx1"/>
                  </w14:solidFill>
                </w14:textFill>
              </w:rPr>
              <w:t>参加本次采购活动前三年内，在经营活动中没有重大违法记录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pPr>
              <w:spacing w:line="360" w:lineRule="auto"/>
              <w:jc w:val="center"/>
              <w:rPr>
                <w:rFonts w:ascii="仿宋" w:hAnsi="仿宋" w:eastAsia="仿宋" w:cs="仿宋"/>
                <w:b/>
                <w:color w:val="000000"/>
                <w:sz w:val="22"/>
              </w:rPr>
            </w:pPr>
            <w:r>
              <w:rPr>
                <w:rFonts w:ascii="仿宋" w:hAnsi="仿宋" w:eastAsia="仿宋"/>
                <w:b/>
                <w:color w:val="000000" w:themeColor="text1"/>
                <w:sz w:val="22"/>
                <w14:textFill>
                  <w14:solidFill>
                    <w14:schemeClr w14:val="tx1"/>
                  </w14:solidFill>
                </w14:textFill>
              </w:rPr>
              <w:t>法律、行政法规规定的其他条件</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pPr>
              <w:jc w:val="center"/>
              <w:rPr>
                <w:rFonts w:ascii="仿宋" w:hAnsi="仿宋" w:eastAsia="仿宋" w:cs="仿宋"/>
                <w:color w:val="000000"/>
                <w:sz w:val="22"/>
              </w:rPr>
            </w:pPr>
            <w:r>
              <w:rPr>
                <w:rFonts w:hint="eastAsia" w:ascii="仿宋" w:hAnsi="仿宋" w:eastAsia="仿宋"/>
                <w:b/>
                <w:color w:val="000000" w:themeColor="text1"/>
                <w:sz w:val="22"/>
                <w14:textFill>
                  <w14:solidFill>
                    <w14:schemeClr w14:val="tx1"/>
                  </w14:solidFill>
                </w14:textFill>
              </w:rPr>
              <w:t>未被列入失信被执行人、重大税收违法案件当事人名单、政府采购严重违法失信行为记录名单</w:t>
            </w:r>
          </w:p>
        </w:tc>
        <w:tc>
          <w:tcPr>
            <w:tcW w:w="4398" w:type="dxa"/>
            <w:vMerge w:val="continue"/>
            <w:vAlign w:val="center"/>
          </w:tcPr>
          <w:p>
            <w:pPr>
              <w:rPr>
                <w:rFonts w:ascii="仿宋" w:hAnsi="仿宋" w:eastAsia="仿宋" w:cs="仿宋"/>
                <w:color w:val="000000"/>
                <w:sz w:val="22"/>
              </w:rPr>
            </w:pPr>
          </w:p>
        </w:tc>
        <w:tc>
          <w:tcPr>
            <w:tcW w:w="902" w:type="dxa"/>
            <w:vMerge w:val="continue"/>
            <w:vAlign w:val="center"/>
          </w:tcPr>
          <w:p>
            <w:pPr>
              <w:jc w:val="left"/>
              <w:rPr>
                <w:rFonts w:ascii="仿宋" w:hAnsi="仿宋" w:eastAsia="仿宋" w:cs="仿宋"/>
                <w:bCs/>
                <w:kern w:val="0"/>
                <w:sz w:val="22"/>
              </w:rPr>
            </w:pPr>
          </w:p>
        </w:tc>
      </w:tr>
    </w:tbl>
    <w:p>
      <w:r>
        <w:br w:type="page"/>
      </w:r>
    </w:p>
    <w:p>
      <w:pPr>
        <w:pStyle w:val="23"/>
      </w:pPr>
    </w:p>
    <w:p>
      <w:pPr>
        <w:pStyle w:val="23"/>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pPr>
              <w:widowControl/>
              <w:jc w:val="center"/>
              <w:rPr>
                <w:rFonts w:ascii="仿宋" w:hAnsi="仿宋" w:eastAsia="仿宋" w:cs="仿宋"/>
                <w:b/>
                <w:bCs/>
                <w:sz w:val="22"/>
              </w:rPr>
            </w:pPr>
            <w:r>
              <w:rPr>
                <w:rFonts w:hint="eastAsia" w:ascii="仿宋" w:hAnsi="仿宋" w:eastAsia="仿宋" w:cs="仿宋"/>
                <w:b/>
                <w:bCs/>
                <w:sz w:val="2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pPr>
              <w:jc w:val="center"/>
              <w:rPr>
                <w:rFonts w:ascii="仿宋" w:hAnsi="仿宋" w:eastAsia="仿宋" w:cs="仿宋"/>
                <w:b/>
                <w:sz w:val="22"/>
              </w:rPr>
            </w:pPr>
            <w:r>
              <w:rPr>
                <w:rFonts w:hint="eastAsia" w:ascii="等线" w:hAnsi="等线" w:eastAsia="仿宋"/>
                <w:b/>
                <w:color w:val="000000" w:themeColor="text1"/>
                <w:sz w:val="22"/>
                <w14:textFill>
                  <w14:solidFill>
                    <w14:schemeClr w14:val="tx1"/>
                  </w14:solidFill>
                </w14:textFill>
              </w:rPr>
              <w:t>法定代表人身份证明书或法定代表人授权委托书</w:t>
            </w:r>
          </w:p>
        </w:tc>
        <w:tc>
          <w:tcPr>
            <w:tcW w:w="4867" w:type="dxa"/>
            <w:vAlign w:val="center"/>
          </w:tcPr>
          <w:p>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比选文件中实质性要求</w:t>
            </w:r>
          </w:p>
        </w:tc>
        <w:tc>
          <w:tcPr>
            <w:tcW w:w="4867" w:type="dxa"/>
            <w:vAlign w:val="center"/>
          </w:tcPr>
          <w:p>
            <w:pPr>
              <w:rPr>
                <w:rFonts w:ascii="仿宋" w:hAnsi="仿宋" w:eastAsia="仿宋" w:cs="仿宋"/>
                <w:sz w:val="22"/>
              </w:rPr>
            </w:pPr>
            <w:r>
              <w:rPr>
                <w:rFonts w:hint="eastAsia" w:ascii="仿宋" w:hAnsi="仿宋" w:eastAsia="仿宋" w:cs="仿宋"/>
                <w:sz w:val="22"/>
              </w:rPr>
              <w:t>供应商符合第四章“★”的条款（若涉及）</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比选申请文件编制</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符合比选文件编制的实质性要求；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签字、盖章</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pPr>
              <w:jc w:val="center"/>
              <w:rPr>
                <w:rFonts w:ascii="等线" w:hAnsi="等线" w:eastAsia="仿宋"/>
                <w:b/>
                <w:color w:val="000000" w:themeColor="text1"/>
                <w:sz w:val="22"/>
                <w14:textFill>
                  <w14:solidFill>
                    <w14:schemeClr w14:val="tx1"/>
                  </w14:solidFill>
                </w14:textFill>
              </w:rPr>
            </w:pPr>
            <w:r>
              <w:rPr>
                <w:rFonts w:hint="eastAsia" w:ascii="等线" w:hAnsi="等线" w:eastAsia="仿宋"/>
                <w:b/>
                <w:color w:val="000000" w:themeColor="text1"/>
                <w:sz w:val="22"/>
                <w14:textFill>
                  <w14:solidFill>
                    <w14:schemeClr w14:val="tx1"/>
                  </w14:solidFill>
                </w14:textFill>
              </w:rPr>
              <w:t>报价</w:t>
            </w:r>
          </w:p>
        </w:tc>
        <w:tc>
          <w:tcPr>
            <w:tcW w:w="4867" w:type="dxa"/>
            <w:vAlign w:val="center"/>
          </w:tcPr>
          <w:p>
            <w:pPr>
              <w:rPr>
                <w:rFonts w:ascii="仿宋" w:hAnsi="仿宋" w:eastAsia="仿宋" w:cs="仿宋"/>
                <w:sz w:val="22"/>
              </w:rPr>
            </w:pPr>
            <w:r>
              <w:rPr>
                <w:rFonts w:hint="eastAsia" w:ascii="仿宋" w:hAnsi="仿宋" w:eastAsia="仿宋" w:cs="仿宋"/>
                <w:sz w:val="22"/>
              </w:rPr>
              <w:t>符合比选文件报价要求;</w:t>
            </w:r>
          </w:p>
          <w:p>
            <w:pPr>
              <w:rPr>
                <w:rFonts w:ascii="仿宋" w:hAnsi="仿宋" w:eastAsia="仿宋" w:cs="仿宋"/>
                <w:sz w:val="22"/>
              </w:rPr>
            </w:pPr>
            <w:r>
              <w:rPr>
                <w:rFonts w:hint="eastAsia" w:ascii="仿宋" w:hAnsi="仿宋" w:eastAsia="仿宋" w:cs="仿宋"/>
                <w:sz w:val="22"/>
              </w:rPr>
              <w:t>注：比选申请人无需另行提供证明材料</w:t>
            </w:r>
          </w:p>
        </w:tc>
        <w:tc>
          <w:tcPr>
            <w:tcW w:w="902" w:type="dxa"/>
            <w:vAlign w:val="center"/>
          </w:tcPr>
          <w:p>
            <w:pPr>
              <w:widowControl/>
              <w:jc w:val="left"/>
              <w:rPr>
                <w:rFonts w:ascii="仿宋" w:hAnsi="仿宋" w:eastAsia="仿宋" w:cs="仿宋"/>
                <w:bCs/>
                <w:kern w:val="0"/>
                <w:sz w:val="22"/>
              </w:rPr>
            </w:pPr>
          </w:p>
        </w:tc>
      </w:tr>
    </w:tbl>
    <w:p>
      <w:r>
        <w:br w:type="page"/>
      </w:r>
    </w:p>
    <w:p>
      <w:pPr>
        <w:widowControl/>
        <w:numPr>
          <w:ilvl w:val="0"/>
          <w:numId w:val="2"/>
        </w:numPr>
        <w:spacing w:line="520" w:lineRule="exact"/>
        <w:jc w:val="center"/>
        <w:outlineLvl w:val="0"/>
        <w:rPr>
          <w:rFonts w:ascii="黑体" w:hAnsi="黑体" w:eastAsia="黑体" w:cs="黑体"/>
          <w:b/>
          <w:sz w:val="36"/>
          <w:szCs w:val="32"/>
        </w:rPr>
      </w:pPr>
      <w:bookmarkStart w:id="12" w:name="_Toc12668"/>
      <w:bookmarkStart w:id="13" w:name="_Toc3988"/>
      <w:bookmarkStart w:id="14" w:name="_Toc3642"/>
      <w:r>
        <w:rPr>
          <w:rFonts w:hint="eastAsia" w:ascii="黑体" w:hAnsi="黑体" w:eastAsia="黑体" w:cs="黑体"/>
          <w:b/>
          <w:sz w:val="36"/>
          <w:szCs w:val="32"/>
        </w:rPr>
        <w:t>采购需求</w:t>
      </w:r>
      <w:bookmarkEnd w:id="12"/>
      <w:bookmarkEnd w:id="13"/>
      <w:bookmarkEnd w:id="14"/>
    </w:p>
    <w:p>
      <w:pPr>
        <w:pStyle w:val="15"/>
        <w:spacing w:before="0" w:after="0" w:line="360" w:lineRule="auto"/>
        <w:ind w:firstLine="0"/>
        <w:rPr>
          <w:rFonts w:ascii="仿宋" w:hAnsi="仿宋" w:eastAsia="仿宋" w:cs="仿宋"/>
          <w:sz w:val="24"/>
          <w:szCs w:val="24"/>
        </w:rPr>
      </w:pPr>
      <w:r>
        <w:rPr>
          <w:rFonts w:hint="eastAsia" w:ascii="仿宋" w:hAnsi="仿宋" w:eastAsia="仿宋" w:cs="仿宋"/>
          <w:b/>
          <w:bCs/>
          <w:sz w:val="24"/>
          <w:szCs w:val="24"/>
        </w:rPr>
        <w:t>一、项目概况</w:t>
      </w:r>
    </w:p>
    <w:p>
      <w:pPr>
        <w:spacing w:line="360" w:lineRule="auto"/>
        <w:ind w:firstLine="480" w:firstLineChars="200"/>
        <w:jc w:val="left"/>
        <w:rPr>
          <w:rFonts w:ascii="仿宋" w:hAnsi="仿宋" w:eastAsia="仿宋" w:cs="仿宋"/>
          <w:b/>
          <w:bCs/>
          <w:sz w:val="24"/>
        </w:rPr>
      </w:pPr>
      <w:r>
        <w:rPr>
          <w:rFonts w:hint="eastAsia" w:ascii="仿宋" w:hAnsi="仿宋" w:eastAsia="仿宋" w:cs="仿宋"/>
          <w:sz w:val="24"/>
          <w:szCs w:val="24"/>
        </w:rPr>
        <w:t>本项目拟采用公开比选的方式确定一名供应商提供节能验收报告咨询服务。</w:t>
      </w:r>
    </w:p>
    <w:p>
      <w:pPr>
        <w:spacing w:line="360" w:lineRule="auto"/>
        <w:jc w:val="left"/>
        <w:rPr>
          <w:rFonts w:ascii="仿宋" w:hAnsi="仿宋" w:eastAsia="仿宋" w:cs="仿宋"/>
          <w:b/>
          <w:bCs/>
          <w:sz w:val="24"/>
          <w:szCs w:val="24"/>
        </w:rPr>
      </w:pPr>
      <w:r>
        <w:rPr>
          <w:rFonts w:hint="eastAsia" w:ascii="仿宋" w:hAnsi="仿宋" w:eastAsia="仿宋" w:cs="仿宋"/>
          <w:b/>
          <w:bCs/>
          <w:sz w:val="24"/>
        </w:rPr>
        <w:t>★二、</w:t>
      </w:r>
      <w:r>
        <w:rPr>
          <w:rFonts w:hint="eastAsia" w:ascii="仿宋" w:hAnsi="仿宋" w:eastAsia="仿宋" w:cs="仿宋"/>
          <w:b/>
          <w:bCs/>
          <w:sz w:val="24"/>
          <w:szCs w:val="24"/>
        </w:rPr>
        <w:t>技术、服务要求</w:t>
      </w:r>
    </w:p>
    <w:p>
      <w:pPr>
        <w:pStyle w:val="3"/>
        <w:spacing w:line="440" w:lineRule="exact"/>
        <w:ind w:firstLine="482" w:firstLineChars="200"/>
      </w:pPr>
      <w:r>
        <w:rPr>
          <w:rFonts w:hint="eastAsia" w:ascii="仿宋" w:hAnsi="仿宋" w:eastAsia="仿宋" w:cs="仿宋"/>
          <w:b/>
          <w:color w:val="000000"/>
          <w:szCs w:val="24"/>
        </w:rPr>
        <w:t>《四川省固体产业投资项目节能评估审查实施办法》（川发改环资）【2017】170号文</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服务内容：编制本项目《节能评估报告》。</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服务标准：通过主管部门审批。</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执行标准：按照实施办法里的相关要求执行。</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成果数量：纸质版报告四份、电子版1份（U盘）。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人员要求：本项目配备项目负责1人、项目技术负责1人、其他团队成员至少2人。</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附件：项目可行性研究报告节能章节</w:t>
      </w:r>
    </w:p>
    <w:p>
      <w:pPr>
        <w:pStyle w:val="15"/>
        <w:spacing w:before="0" w:after="0" w:line="360" w:lineRule="auto"/>
        <w:ind w:firstLine="0"/>
        <w:rPr>
          <w:rFonts w:ascii="仿宋" w:hAnsi="仿宋" w:eastAsia="仿宋" w:cs="仿宋"/>
          <w:b/>
          <w:bCs/>
          <w:sz w:val="24"/>
          <w:szCs w:val="24"/>
        </w:rPr>
      </w:pPr>
      <w:r>
        <w:rPr>
          <w:rFonts w:hint="eastAsia" w:ascii="仿宋" w:hAnsi="仿宋" w:eastAsia="仿宋" w:cs="仿宋"/>
          <w:b/>
          <w:bCs/>
          <w:sz w:val="24"/>
          <w:szCs w:val="22"/>
        </w:rPr>
        <w:t>★三</w:t>
      </w:r>
      <w:r>
        <w:rPr>
          <w:rFonts w:hint="eastAsia" w:ascii="仿宋" w:hAnsi="仿宋" w:eastAsia="仿宋" w:cs="仿宋"/>
          <w:b/>
          <w:bCs/>
          <w:sz w:val="24"/>
          <w:szCs w:val="24"/>
        </w:rPr>
        <w:t>、商务要求：</w:t>
      </w:r>
    </w:p>
    <w:p>
      <w:pPr>
        <w:pStyle w:val="15"/>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（一）资金支付条款：通过专家评审后并通过主管部门审批后，收到支付申请和发票后60日内一次性支付100%。</w:t>
      </w:r>
      <w:r>
        <w:rPr>
          <w:rFonts w:hint="eastAsia" w:ascii="仿宋" w:hAnsi="仿宋" w:eastAsia="仿宋" w:cs="仿宋"/>
          <w:sz w:val="24"/>
          <w:szCs w:val="24"/>
        </w:rPr>
        <w:cr/>
      </w:r>
      <w:r>
        <w:rPr>
          <w:rFonts w:hint="eastAsia" w:ascii="仿宋" w:hAnsi="仿宋" w:eastAsia="仿宋" w:cs="仿宋"/>
          <w:sz w:val="24"/>
          <w:szCs w:val="24"/>
        </w:rPr>
        <w:t>（二）服务地点：四川省成都市青羊区。</w:t>
      </w:r>
    </w:p>
    <w:p>
      <w:pPr>
        <w:pStyle w:val="15"/>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（三）验收标准：编制项目节能评估报告，并通过主管部门审核通过。</w:t>
      </w:r>
    </w:p>
    <w:p>
      <w:pPr>
        <w:pStyle w:val="15"/>
        <w:spacing w:before="0" w:after="0" w:line="360" w:lineRule="auto"/>
        <w:ind w:firstLine="0"/>
        <w:rPr>
          <w:rFonts w:ascii="仿宋" w:hAnsi="仿宋" w:eastAsia="仿宋" w:cs="仿宋"/>
          <w:sz w:val="24"/>
          <w:szCs w:val="24"/>
        </w:rPr>
      </w:pPr>
      <w:r>
        <w:rPr>
          <w:rFonts w:hint="eastAsia" w:ascii="仿宋" w:hAnsi="仿宋" w:eastAsia="仿宋" w:cs="仿宋"/>
          <w:sz w:val="24"/>
          <w:szCs w:val="24"/>
        </w:rPr>
        <w:t>（四）服务期：30日历天。</w:t>
      </w:r>
    </w:p>
    <w:p>
      <w:pPr>
        <w:pStyle w:val="15"/>
        <w:spacing w:before="0" w:after="0" w:line="360" w:lineRule="auto"/>
        <w:ind w:firstLine="0"/>
        <w:rPr>
          <w:rFonts w:ascii="仿宋" w:hAnsi="仿宋" w:eastAsia="仿宋" w:cs="仿宋"/>
          <w:sz w:val="24"/>
          <w:szCs w:val="24"/>
        </w:rPr>
      </w:pPr>
      <w:r>
        <w:rPr>
          <w:rFonts w:hint="eastAsia" w:ascii="仿宋" w:hAnsi="仿宋" w:eastAsia="仿宋" w:cs="仿宋"/>
          <w:sz w:val="24"/>
          <w:szCs w:val="24"/>
        </w:rPr>
        <w:t>（五）知识产权归属：省医院。</w:t>
      </w:r>
    </w:p>
    <w:p>
      <w:pPr>
        <w:pStyle w:val="15"/>
        <w:spacing w:line="360" w:lineRule="auto"/>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2"/>
        </w:rPr>
        <w:t>★</w:t>
      </w:r>
      <w:r>
        <w:rPr>
          <w:rFonts w:hint="eastAsia" w:ascii="仿宋" w:hAnsi="仿宋" w:eastAsia="仿宋" w:cs="仿宋"/>
          <w:sz w:val="24"/>
          <w:szCs w:val="24"/>
        </w:rPr>
        <w:t>”的条款为实质性要求，不满足将被作为无效响应处理。</w:t>
      </w:r>
    </w:p>
    <w:p>
      <w:pPr>
        <w:rPr>
          <w:rFonts w:ascii="仿宋" w:hAnsi="仿宋" w:eastAsia="仿宋" w:cs="仿宋"/>
          <w:sz w:val="24"/>
          <w:szCs w:val="24"/>
        </w:rPr>
      </w:pPr>
      <w:r>
        <w:rPr>
          <w:rFonts w:hint="eastAsia" w:ascii="仿宋" w:hAnsi="仿宋" w:eastAsia="仿宋" w:cs="仿宋"/>
          <w:sz w:val="24"/>
          <w:szCs w:val="24"/>
        </w:rPr>
        <w:br w:type="page"/>
      </w:r>
    </w:p>
    <w:p>
      <w:pPr>
        <w:widowControl/>
        <w:numPr>
          <w:ilvl w:val="0"/>
          <w:numId w:val="2"/>
        </w:numPr>
        <w:spacing w:line="520" w:lineRule="exact"/>
        <w:jc w:val="center"/>
        <w:outlineLvl w:val="0"/>
        <w:rPr>
          <w:rFonts w:ascii="黑体" w:hAnsi="黑体" w:eastAsia="黑体" w:cs="黑体"/>
          <w:b/>
          <w:sz w:val="36"/>
          <w:szCs w:val="32"/>
        </w:rPr>
      </w:pPr>
      <w:bookmarkStart w:id="15" w:name="_Toc22588"/>
      <w:bookmarkStart w:id="16" w:name="_Toc13768"/>
      <w:bookmarkStart w:id="17" w:name="_Toc16738"/>
      <w:r>
        <w:rPr>
          <w:rFonts w:hint="eastAsia" w:ascii="黑体" w:hAnsi="黑体" w:eastAsia="黑体" w:cs="黑体"/>
          <w:b/>
          <w:sz w:val="36"/>
          <w:szCs w:val="32"/>
        </w:rPr>
        <w:t>评分标准</w:t>
      </w:r>
      <w:bookmarkEnd w:id="15"/>
      <w:bookmarkEnd w:id="16"/>
      <w:bookmarkEnd w:id="17"/>
    </w:p>
    <w:tbl>
      <w:tblPr>
        <w:tblStyle w:val="17"/>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906"/>
        <w:gridCol w:w="723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701"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序号</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分值</w:t>
            </w:r>
          </w:p>
        </w:tc>
        <w:tc>
          <w:tcPr>
            <w:tcW w:w="7230"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评分标准</w:t>
            </w:r>
          </w:p>
        </w:tc>
        <w:tc>
          <w:tcPr>
            <w:tcW w:w="807"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01"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报价</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7230"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经专家评审的最低有效投标报价作为评标基准价；其他投标人报价得分=(评标基准价／投标报价)×30。</w:t>
            </w:r>
          </w:p>
        </w:tc>
        <w:tc>
          <w:tcPr>
            <w:tcW w:w="807"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jc w:val="center"/>
        </w:trPr>
        <w:tc>
          <w:tcPr>
            <w:tcW w:w="701"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906" w:type="dxa"/>
            <w:tcMar>
              <w:top w:w="0" w:type="dxa"/>
              <w:left w:w="108" w:type="dxa"/>
              <w:bottom w:w="0" w:type="dxa"/>
              <w:right w:w="108" w:type="dxa"/>
            </w:tcMar>
            <w:vAlign w:val="center"/>
          </w:tcPr>
          <w:p>
            <w:pPr>
              <w:widowControl/>
              <w:jc w:val="center"/>
            </w:pPr>
            <w:r>
              <w:rPr>
                <w:rFonts w:hint="eastAsia" w:ascii="仿宋" w:hAnsi="仿宋" w:eastAsia="仿宋" w:cs="仿宋"/>
                <w:kern w:val="0"/>
                <w:sz w:val="24"/>
                <w:szCs w:val="24"/>
              </w:rPr>
              <w:t>项目实施方案15分</w:t>
            </w:r>
          </w:p>
        </w:tc>
        <w:tc>
          <w:tcPr>
            <w:tcW w:w="7230"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根据投标人提供的项目实施方案进行评审，内容包含但不限于：</w:t>
            </w:r>
          </w:p>
          <w:p>
            <w:pPr>
              <w:widowControl/>
              <w:jc w:val="left"/>
            </w:pPr>
            <w:r>
              <w:rPr>
                <w:rFonts w:hint="eastAsia" w:ascii="仿宋" w:hAnsi="仿宋" w:eastAsia="仿宋" w:cs="仿宋"/>
                <w:kern w:val="0"/>
                <w:sz w:val="24"/>
                <w:szCs w:val="24"/>
              </w:rPr>
              <w:t xml:space="preserve"> ①工作内容；②政策文件的理解；③项目需求分析；④项目重难点分析。以上4项全部提供得16分，每缺一项扣4分，每有一项内容存在不足或没有针对性扣2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tc>
        <w:tc>
          <w:tcPr>
            <w:tcW w:w="807" w:type="dxa"/>
            <w:tcMar>
              <w:top w:w="0" w:type="dxa"/>
              <w:left w:w="108" w:type="dxa"/>
              <w:bottom w:w="0" w:type="dxa"/>
              <w:right w:w="108" w:type="dxa"/>
            </w:tcMar>
            <w:vAlign w:val="center"/>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jc w:val="center"/>
        </w:trPr>
        <w:tc>
          <w:tcPr>
            <w:tcW w:w="701"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项目运行保障措施及方案</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15分</w:t>
            </w:r>
          </w:p>
        </w:tc>
        <w:tc>
          <w:tcPr>
            <w:tcW w:w="7230"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投标人提供的项目运行保障措施及方案进行评审，内容包含但不限于：①进度保障措施；②质量管理制度与措施；③风险管控；④安全管理制度及措施；⑤保密制度及措施。以上5项全部提供得15分，每缺一项扣3分，每有一项内容存在不足或没有针对性扣1.5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tc>
        <w:tc>
          <w:tcPr>
            <w:tcW w:w="807"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jc w:val="center"/>
        </w:trPr>
        <w:tc>
          <w:tcPr>
            <w:tcW w:w="701"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项目管理方案15分</w:t>
            </w:r>
          </w:p>
        </w:tc>
        <w:tc>
          <w:tcPr>
            <w:tcW w:w="7230"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根据投标人提供的项目管理方案进行评审，内容包含但不限于：①工作流程、②组织机构设置、③团队安排和分工、④组织机构和职能职责、⑤预期成果及档案管理。以上5项全部提供得15分，每缺一项扣3分，每有一项内容存在不足或没有针对性扣1.5分，内容存在不足或没有针对性系指以下情形中的任意一项：项目名称、实施地点、涉及的规范、标准与本项目要求不一致；非专门针对本项目或不适用项目特性的情形；套用其他方案；方案内容交叉混乱；前后内容前后矛盾；措施方法等内容存在及其他不适用项目情况的情形等；不提供的不得分，扣完为止。</w:t>
            </w:r>
          </w:p>
        </w:tc>
        <w:tc>
          <w:tcPr>
            <w:tcW w:w="807"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履约</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能力</w:t>
            </w:r>
          </w:p>
          <w:p>
            <w:pPr>
              <w:widowControl/>
              <w:jc w:val="center"/>
            </w:pPr>
            <w:r>
              <w:rPr>
                <w:rFonts w:hint="eastAsia" w:ascii="仿宋" w:hAnsi="仿宋" w:eastAsia="仿宋" w:cs="仿宋"/>
                <w:kern w:val="0"/>
                <w:sz w:val="24"/>
                <w:szCs w:val="24"/>
              </w:rPr>
              <w:t>9分</w:t>
            </w:r>
          </w:p>
        </w:tc>
        <w:tc>
          <w:tcPr>
            <w:tcW w:w="7230" w:type="dxa"/>
            <w:tcMar>
              <w:top w:w="0" w:type="dxa"/>
              <w:left w:w="108" w:type="dxa"/>
              <w:bottom w:w="0" w:type="dxa"/>
              <w:right w:w="108" w:type="dxa"/>
            </w:tcMar>
            <w:vAlign w:val="center"/>
          </w:tcPr>
          <w:p>
            <w:pPr>
              <w:widowControl/>
              <w:jc w:val="left"/>
              <w:rPr>
                <w:rFonts w:ascii="仿宋" w:hAnsi="仿宋" w:eastAsia="仿宋" w:cs="仿宋"/>
                <w:kern w:val="0"/>
                <w:sz w:val="24"/>
                <w:szCs w:val="24"/>
              </w:rPr>
            </w:pPr>
            <w:r>
              <w:rPr>
                <w:rFonts w:hint="eastAsia" w:ascii="仿宋" w:hAnsi="仿宋" w:eastAsia="仿宋" w:cs="仿宋"/>
                <w:kern w:val="0"/>
                <w:sz w:val="24"/>
                <w:szCs w:val="24"/>
              </w:rPr>
              <w:t xml:space="preserve">供应商2019年1月1日至今（以合同、协议等文件签订日期为准）具有类似项目业绩，每提供一个得3分，最多得9分，未提供不得分。 </w:t>
            </w:r>
          </w:p>
          <w:p>
            <w:pPr>
              <w:widowControl/>
              <w:jc w:val="left"/>
            </w:pPr>
            <w:r>
              <w:rPr>
                <w:rFonts w:hint="eastAsia" w:ascii="仿宋" w:hAnsi="仿宋" w:eastAsia="仿宋" w:cs="仿宋"/>
                <w:b/>
                <w:bCs/>
                <w:kern w:val="0"/>
                <w:sz w:val="24"/>
                <w:szCs w:val="24"/>
              </w:rPr>
              <w:t>注：提供合同或中标通知书（成交通知书）复印件加盖供应商公章。</w:t>
            </w:r>
          </w:p>
        </w:tc>
        <w:tc>
          <w:tcPr>
            <w:tcW w:w="807" w:type="dxa"/>
            <w:tcMar>
              <w:top w:w="0" w:type="dxa"/>
              <w:left w:w="108" w:type="dxa"/>
              <w:bottom w:w="0" w:type="dxa"/>
              <w:right w:w="108" w:type="dxa"/>
            </w:tcMar>
            <w:vAlign w:val="center"/>
          </w:tcPr>
          <w:p>
            <w:pPr>
              <w:widowControl/>
              <w:jc w:val="left"/>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01"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906" w:type="dxa"/>
            <w:tcMar>
              <w:top w:w="0" w:type="dxa"/>
              <w:left w:w="108" w:type="dxa"/>
              <w:bottom w:w="0" w:type="dxa"/>
              <w:right w:w="108" w:type="dxa"/>
            </w:tcMar>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人员</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要求</w:t>
            </w:r>
          </w:p>
          <w:p>
            <w:pPr>
              <w:widowControl/>
              <w:jc w:val="center"/>
              <w:rPr>
                <w:rFonts w:ascii="仿宋" w:hAnsi="仿宋" w:eastAsia="仿宋" w:cs="仿宋"/>
                <w:kern w:val="0"/>
                <w:sz w:val="24"/>
                <w:szCs w:val="24"/>
              </w:rPr>
            </w:pPr>
            <w:r>
              <w:rPr>
                <w:rFonts w:hint="eastAsia" w:ascii="仿宋" w:hAnsi="仿宋" w:eastAsia="仿宋" w:cs="仿宋"/>
                <w:kern w:val="0"/>
                <w:sz w:val="24"/>
                <w:szCs w:val="24"/>
              </w:rPr>
              <w:t>16分</w:t>
            </w:r>
          </w:p>
        </w:tc>
        <w:tc>
          <w:tcPr>
            <w:tcW w:w="7230" w:type="dxa"/>
            <w:tcMar>
              <w:top w:w="0" w:type="dxa"/>
              <w:left w:w="108" w:type="dxa"/>
              <w:bottom w:w="0" w:type="dxa"/>
              <w:right w:w="108" w:type="dxa"/>
            </w:tcMar>
            <w:vAlign w:val="center"/>
          </w:tcPr>
          <w:p>
            <w:pPr>
              <w:widowControl/>
              <w:numPr>
                <w:ilvl w:val="0"/>
                <w:numId w:val="7"/>
              </w:numPr>
              <w:jc w:val="left"/>
              <w:rPr>
                <w:rFonts w:ascii="仿宋" w:hAnsi="仿宋" w:eastAsia="仿宋" w:cs="仿宋"/>
                <w:kern w:val="0"/>
                <w:sz w:val="24"/>
                <w:szCs w:val="24"/>
              </w:rPr>
            </w:pPr>
            <w:r>
              <w:rPr>
                <w:rFonts w:hint="eastAsia" w:ascii="仿宋" w:hAnsi="仿宋" w:eastAsia="仿宋" w:cs="仿宋"/>
                <w:kern w:val="0"/>
                <w:sz w:val="24"/>
                <w:szCs w:val="24"/>
              </w:rPr>
              <w:t xml:space="preserve">项目负责人：拟投入本项目的项目负责人具有咨询工程师的得2分，并具有中级及以上的职称证书的加2分。未提供不得分，本项最高得4分。 </w:t>
            </w:r>
          </w:p>
          <w:p>
            <w:pPr>
              <w:widowControl/>
              <w:numPr>
                <w:ilvl w:val="0"/>
                <w:numId w:val="7"/>
              </w:numPr>
              <w:jc w:val="left"/>
              <w:rPr>
                <w:rFonts w:ascii="仿宋" w:hAnsi="仿宋" w:eastAsia="仿宋" w:cs="仿宋"/>
                <w:kern w:val="0"/>
                <w:sz w:val="24"/>
                <w:szCs w:val="24"/>
              </w:rPr>
            </w:pPr>
            <w:r>
              <w:rPr>
                <w:rFonts w:hint="eastAsia" w:ascii="仿宋" w:hAnsi="仿宋" w:eastAsia="仿宋" w:cs="仿宋"/>
                <w:kern w:val="0"/>
                <w:sz w:val="24"/>
                <w:szCs w:val="24"/>
              </w:rPr>
              <w:t xml:space="preserve">项目技术负责人：拟投入本项目的项目技术负责人具有咨询工程师的得2分，并具有中级及以上的职称证书的加2分。未提供不得分，本项最高得4分。 </w:t>
            </w:r>
          </w:p>
          <w:p>
            <w:pPr>
              <w:widowControl/>
              <w:numPr>
                <w:ilvl w:val="0"/>
                <w:numId w:val="7"/>
              </w:numPr>
              <w:jc w:val="left"/>
              <w:rPr>
                <w:rFonts w:ascii="仿宋" w:hAnsi="仿宋" w:eastAsia="仿宋" w:cs="仿宋"/>
                <w:kern w:val="0"/>
                <w:sz w:val="24"/>
                <w:szCs w:val="24"/>
              </w:rPr>
            </w:pPr>
            <w:r>
              <w:rPr>
                <w:rFonts w:hint="eastAsia" w:ascii="仿宋" w:hAnsi="仿宋" w:eastAsia="仿宋" w:cs="仿宋"/>
                <w:kern w:val="0"/>
                <w:sz w:val="24"/>
                <w:szCs w:val="24"/>
              </w:rPr>
              <w:t xml:space="preserve">拟投入本项目的团队人员（除项目负责人、项目技术负责人外）：每具有一名咨询工程师或中级及以上职称证书的得2分，未提供不得分，本项最高得8分。 </w:t>
            </w:r>
          </w:p>
          <w:p>
            <w:pPr>
              <w:widowControl/>
              <w:jc w:val="left"/>
              <w:rPr>
                <w:rFonts w:ascii="仿宋" w:hAnsi="仿宋" w:eastAsia="仿宋" w:cs="仿宋"/>
                <w:kern w:val="0"/>
                <w:sz w:val="24"/>
                <w:szCs w:val="24"/>
              </w:rPr>
            </w:pPr>
            <w:r>
              <w:rPr>
                <w:rFonts w:hint="eastAsia" w:ascii="仿宋" w:hAnsi="仿宋" w:eastAsia="仿宋" w:cs="仿宋"/>
                <w:b/>
                <w:bCs/>
                <w:kern w:val="0"/>
                <w:sz w:val="24"/>
                <w:szCs w:val="24"/>
              </w:rPr>
              <w:t>注：同一人员不重复得分，提供上述人员证书复印件并加盖供应商公章。</w:t>
            </w:r>
          </w:p>
        </w:tc>
        <w:tc>
          <w:tcPr>
            <w:tcW w:w="807" w:type="dxa"/>
            <w:tcMar>
              <w:top w:w="0" w:type="dxa"/>
              <w:left w:w="108" w:type="dxa"/>
              <w:bottom w:w="0" w:type="dxa"/>
              <w:right w:w="108" w:type="dxa"/>
            </w:tcMar>
            <w:vAlign w:val="center"/>
          </w:tcPr>
          <w:p>
            <w:pPr>
              <w:widowControl/>
              <w:jc w:val="left"/>
              <w:rPr>
                <w:rFonts w:ascii="仿宋" w:hAnsi="仿宋" w:eastAsia="仿宋" w:cs="仿宋"/>
                <w:kern w:val="0"/>
                <w:sz w:val="24"/>
                <w:szCs w:val="24"/>
              </w:rPr>
            </w:pPr>
          </w:p>
        </w:tc>
      </w:tr>
    </w:tbl>
    <w:p>
      <w:pPr>
        <w:pStyle w:val="2"/>
      </w:pPr>
    </w:p>
    <w:p>
      <w:pPr>
        <w:jc w:val="cente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widowControl/>
        <w:numPr>
          <w:ilvl w:val="0"/>
          <w:numId w:val="2"/>
        </w:numPr>
        <w:spacing w:line="520" w:lineRule="exact"/>
        <w:jc w:val="center"/>
        <w:outlineLvl w:val="0"/>
        <w:rPr>
          <w:rFonts w:ascii="黑体" w:hAnsi="黑体" w:eastAsia="黑体" w:cs="黑体"/>
          <w:b/>
          <w:sz w:val="36"/>
          <w:szCs w:val="32"/>
        </w:rPr>
      </w:pPr>
      <w:bookmarkStart w:id="18" w:name="_Toc3094"/>
      <w:bookmarkStart w:id="19" w:name="_Toc22827"/>
      <w:bookmarkStart w:id="20" w:name="_Toc10063"/>
      <w:r>
        <w:rPr>
          <w:rFonts w:hint="eastAsia" w:ascii="黑体" w:hAnsi="黑体" w:eastAsia="黑体" w:cs="黑体"/>
          <w:b/>
          <w:sz w:val="36"/>
          <w:szCs w:val="32"/>
        </w:rPr>
        <w:t>比选申请文件格式</w:t>
      </w:r>
      <w:bookmarkEnd w:id="18"/>
      <w:bookmarkEnd w:id="19"/>
      <w:bookmarkEnd w:id="20"/>
    </w:p>
    <w:p>
      <w:pPr>
        <w:spacing w:line="700" w:lineRule="exact"/>
        <w:rPr>
          <w:rFonts w:ascii="仿宋" w:hAnsi="仿宋" w:eastAsia="仿宋" w:cs="仿宋"/>
          <w:b/>
          <w:bCs/>
          <w:sz w:val="32"/>
          <w:szCs w:val="32"/>
        </w:rPr>
      </w:pPr>
    </w:p>
    <w:p>
      <w:pPr>
        <w:jc w:val="left"/>
        <w:rPr>
          <w:rFonts w:ascii="仿宋" w:hAnsi="仿宋" w:eastAsia="仿宋" w:cs="仿宋"/>
          <w:sz w:val="28"/>
          <w:szCs w:val="24"/>
        </w:rPr>
      </w:pPr>
      <w:bookmarkStart w:id="21" w:name="_Toc29819"/>
      <w:bookmarkStart w:id="22" w:name="_Toc5913"/>
      <w:bookmarkStart w:id="23" w:name="_Toc4960"/>
      <w:r>
        <w:rPr>
          <w:rFonts w:hint="eastAsia" w:ascii="仿宋" w:hAnsi="仿宋" w:eastAsia="仿宋" w:cs="仿宋"/>
          <w:sz w:val="28"/>
          <w:szCs w:val="24"/>
        </w:rPr>
        <w:t>（比选申请封面）</w:t>
      </w:r>
      <w:bookmarkEnd w:id="21"/>
      <w:bookmarkEnd w:id="22"/>
      <w:bookmarkEnd w:id="23"/>
    </w:p>
    <w:p>
      <w:pPr>
        <w:rPr>
          <w:rFonts w:ascii="仿宋" w:hAnsi="仿宋" w:eastAsia="仿宋" w:cs="仿宋"/>
          <w:sz w:val="28"/>
          <w:szCs w:val="28"/>
        </w:rPr>
      </w:pPr>
    </w:p>
    <w:p>
      <w:pPr>
        <w:jc w:val="left"/>
        <w:rPr>
          <w:rFonts w:ascii="仿宋" w:hAnsi="仿宋" w:eastAsia="仿宋" w:cs="仿宋"/>
          <w:sz w:val="24"/>
          <w:szCs w:val="24"/>
        </w:rPr>
      </w:pPr>
      <w:bookmarkStart w:id="24" w:name="_Toc30609"/>
      <w:bookmarkStart w:id="25" w:name="_Toc19851"/>
      <w:bookmarkStart w:id="26" w:name="_Toc9428"/>
      <w:r>
        <w:rPr>
          <w:rFonts w:hint="eastAsia" w:ascii="仿宋" w:hAnsi="仿宋" w:eastAsia="仿宋" w:cs="仿宋"/>
          <w:sz w:val="24"/>
          <w:szCs w:val="24"/>
        </w:rPr>
        <w:t>项目名称：</w:t>
      </w:r>
      <w:bookmarkEnd w:id="24"/>
      <w:bookmarkEnd w:id="25"/>
      <w:bookmarkEnd w:id="26"/>
    </w:p>
    <w:p>
      <w:pPr>
        <w:jc w:val="left"/>
        <w:rPr>
          <w:rFonts w:ascii="仿宋" w:hAnsi="仿宋" w:eastAsia="仿宋" w:cs="仿宋"/>
          <w:sz w:val="24"/>
          <w:szCs w:val="24"/>
        </w:rPr>
      </w:pPr>
      <w:bookmarkStart w:id="27" w:name="_Toc9041"/>
      <w:bookmarkStart w:id="28" w:name="_Toc1544"/>
      <w:bookmarkStart w:id="29" w:name="_Toc32352"/>
      <w:r>
        <w:rPr>
          <w:rFonts w:hint="eastAsia" w:ascii="仿宋" w:hAnsi="仿宋" w:eastAsia="仿宋" w:cs="仿宋"/>
          <w:sz w:val="24"/>
          <w:szCs w:val="24"/>
        </w:rPr>
        <w:t>项目编号：</w:t>
      </w:r>
      <w:bookmarkEnd w:id="27"/>
      <w:bookmarkEnd w:id="28"/>
      <w:bookmarkEnd w:id="29"/>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84"/>
          <w:szCs w:val="24"/>
        </w:rPr>
      </w:pPr>
      <w:bookmarkStart w:id="30" w:name="_Toc21472"/>
      <w:bookmarkStart w:id="31" w:name="_Toc24097"/>
    </w:p>
    <w:p>
      <w:pPr>
        <w:jc w:val="center"/>
        <w:rPr>
          <w:rFonts w:ascii="仿宋" w:hAnsi="仿宋" w:eastAsia="仿宋" w:cs="仿宋"/>
          <w:sz w:val="96"/>
          <w:szCs w:val="24"/>
        </w:rPr>
      </w:pPr>
      <w:bookmarkStart w:id="32" w:name="_Toc22144"/>
      <w:r>
        <w:rPr>
          <w:rFonts w:hint="eastAsia" w:ascii="仿宋" w:hAnsi="仿宋" w:eastAsia="仿宋" w:cs="仿宋"/>
          <w:sz w:val="96"/>
          <w:szCs w:val="24"/>
        </w:rPr>
        <w:t>比选申请文件</w:t>
      </w:r>
      <w:bookmarkEnd w:id="30"/>
      <w:bookmarkEnd w:id="31"/>
      <w:bookmarkEnd w:id="32"/>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jc w:val="left"/>
        <w:rPr>
          <w:rFonts w:ascii="仿宋" w:hAnsi="仿宋" w:eastAsia="仿宋" w:cs="仿宋"/>
          <w:sz w:val="28"/>
          <w:szCs w:val="24"/>
        </w:rPr>
      </w:pPr>
      <w:bookmarkStart w:id="33" w:name="_Toc24859"/>
      <w:bookmarkStart w:id="34" w:name="_Toc17163"/>
      <w:bookmarkStart w:id="35" w:name="_Toc32749"/>
      <w:bookmarkStart w:id="36" w:name="_Toc1690"/>
      <w:r>
        <w:rPr>
          <w:rFonts w:hint="eastAsia" w:ascii="仿宋" w:hAnsi="仿宋" w:eastAsia="仿宋" w:cs="仿宋"/>
          <w:sz w:val="28"/>
          <w:szCs w:val="24"/>
        </w:rPr>
        <w:t>比选申请人名称（公章）：</w:t>
      </w:r>
      <w:bookmarkEnd w:id="33"/>
      <w:bookmarkEnd w:id="34"/>
      <w:bookmarkEnd w:id="35"/>
      <w:bookmarkEnd w:id="36"/>
    </w:p>
    <w:p>
      <w:pPr>
        <w:jc w:val="left"/>
        <w:rPr>
          <w:rFonts w:ascii="仿宋" w:hAnsi="仿宋" w:eastAsia="仿宋" w:cs="仿宋"/>
          <w:sz w:val="28"/>
          <w:szCs w:val="24"/>
        </w:rPr>
      </w:pPr>
      <w:bookmarkStart w:id="37" w:name="_Toc24123"/>
      <w:bookmarkStart w:id="38" w:name="_Toc3558"/>
      <w:bookmarkStart w:id="39" w:name="_Toc17905"/>
      <w:bookmarkStart w:id="40" w:name="_Toc6803"/>
      <w:r>
        <w:rPr>
          <w:rFonts w:hint="eastAsia" w:ascii="仿宋" w:hAnsi="仿宋" w:eastAsia="仿宋" w:cs="仿宋"/>
          <w:sz w:val="28"/>
          <w:szCs w:val="24"/>
        </w:rPr>
        <w:t>法定代表人或授权代理人（签字）：</w:t>
      </w:r>
      <w:bookmarkEnd w:id="37"/>
      <w:bookmarkEnd w:id="38"/>
      <w:bookmarkEnd w:id="39"/>
      <w:bookmarkEnd w:id="40"/>
    </w:p>
    <w:p>
      <w:pPr>
        <w:jc w:val="left"/>
        <w:rPr>
          <w:rFonts w:ascii="仿宋" w:hAnsi="仿宋" w:eastAsia="仿宋" w:cs="仿宋"/>
          <w:sz w:val="28"/>
          <w:szCs w:val="24"/>
        </w:rPr>
      </w:pPr>
      <w:bookmarkStart w:id="41" w:name="_Toc5996"/>
      <w:bookmarkStart w:id="42" w:name="_Toc2989"/>
      <w:bookmarkStart w:id="43" w:name="_Toc27526"/>
      <w:bookmarkStart w:id="44" w:name="_Toc27135"/>
      <w:r>
        <w:rPr>
          <w:rFonts w:hint="eastAsia" w:ascii="仿宋" w:hAnsi="仿宋" w:eastAsia="仿宋" w:cs="仿宋"/>
          <w:sz w:val="28"/>
          <w:szCs w:val="24"/>
        </w:rPr>
        <w:t>联系方式（移动电话）：</w:t>
      </w:r>
      <w:bookmarkEnd w:id="41"/>
      <w:bookmarkEnd w:id="42"/>
      <w:bookmarkEnd w:id="43"/>
      <w:bookmarkEnd w:id="44"/>
    </w:p>
    <w:p>
      <w:pPr>
        <w:jc w:val="left"/>
        <w:rPr>
          <w:rFonts w:ascii="仿宋" w:hAnsi="仿宋" w:eastAsia="仿宋" w:cs="仿宋"/>
          <w:sz w:val="28"/>
          <w:szCs w:val="24"/>
        </w:rPr>
      </w:pPr>
      <w:bookmarkStart w:id="45" w:name="_Toc5056"/>
      <w:bookmarkStart w:id="46" w:name="_Toc19987"/>
      <w:bookmarkStart w:id="47" w:name="_Toc7233"/>
      <w:bookmarkStart w:id="48" w:name="_Toc2031"/>
      <w:r>
        <w:rPr>
          <w:rFonts w:hint="eastAsia" w:ascii="仿宋" w:hAnsi="仿宋" w:eastAsia="仿宋" w:cs="仿宋"/>
          <w:sz w:val="28"/>
          <w:szCs w:val="24"/>
        </w:rPr>
        <w:t>日期：     年    月     日</w:t>
      </w:r>
      <w:bookmarkEnd w:id="45"/>
      <w:bookmarkEnd w:id="46"/>
      <w:bookmarkEnd w:id="47"/>
      <w:bookmarkEnd w:id="48"/>
    </w:p>
    <w:p>
      <w:pPr>
        <w:rPr>
          <w:rFonts w:ascii="仿宋" w:hAnsi="仿宋" w:eastAsia="仿宋" w:cs="仿宋"/>
          <w:sz w:val="28"/>
          <w:szCs w:val="24"/>
        </w:rPr>
        <w:sectPr>
          <w:footerReference r:id="rId6" w:type="default"/>
          <w:pgSz w:w="11906" w:h="16838"/>
          <w:pgMar w:top="1440" w:right="1800" w:bottom="1440" w:left="1800" w:header="851" w:footer="992" w:gutter="0"/>
          <w:pgNumType w:start="1"/>
          <w:cols w:space="720" w:num="1"/>
          <w:docGrid w:type="lines" w:linePitch="312" w:charSpace="0"/>
        </w:sectPr>
      </w:pPr>
    </w:p>
    <w:p>
      <w:pPr>
        <w:jc w:val="center"/>
        <w:rPr>
          <w:rFonts w:ascii="仿宋" w:hAnsi="仿宋" w:eastAsia="仿宋" w:cs="仿宋"/>
          <w:sz w:val="32"/>
          <w:szCs w:val="40"/>
        </w:rPr>
      </w:pPr>
      <w:bookmarkStart w:id="49" w:name="_Toc14829"/>
      <w:bookmarkStart w:id="50" w:name="_Toc11352"/>
      <w:bookmarkStart w:id="51" w:name="_Toc6482"/>
      <w:bookmarkStart w:id="52" w:name="_Toc16029"/>
      <w:bookmarkStart w:id="53" w:name="_Toc3023"/>
      <w:bookmarkStart w:id="54" w:name="_Toc21519"/>
    </w:p>
    <w:p>
      <w:pPr>
        <w:spacing w:line="700" w:lineRule="exact"/>
        <w:jc w:val="center"/>
        <w:outlineLvl w:val="1"/>
        <w:rPr>
          <w:rStyle w:val="29"/>
          <w:rFonts w:ascii="仿宋" w:hAnsi="仿宋" w:eastAsia="仿宋" w:cs="仿宋"/>
          <w:b/>
          <w:bCs/>
          <w:sz w:val="32"/>
          <w:szCs w:val="28"/>
        </w:rPr>
      </w:pPr>
      <w:r>
        <w:rPr>
          <w:rStyle w:val="29"/>
          <w:rFonts w:hint="eastAsia" w:ascii="仿宋" w:hAnsi="仿宋" w:eastAsia="仿宋" w:cs="仿宋"/>
          <w:b/>
          <w:bCs/>
          <w:sz w:val="32"/>
          <w:szCs w:val="28"/>
        </w:rPr>
        <w:t>一、承诺函</w:t>
      </w:r>
      <w:bookmarkEnd w:id="49"/>
      <w:bookmarkEnd w:id="50"/>
      <w:bookmarkEnd w:id="51"/>
      <w:bookmarkEnd w:id="52"/>
      <w:bookmarkEnd w:id="53"/>
      <w:bookmarkEnd w:id="54"/>
    </w:p>
    <w:p>
      <w:pPr>
        <w:pStyle w:val="2"/>
        <w:rPr>
          <w:rFonts w:ascii="仿宋" w:hAnsi="仿宋" w:eastAsia="仿宋" w:cs="仿宋"/>
        </w:rPr>
      </w:pPr>
    </w:p>
    <w:p>
      <w:pPr>
        <w:spacing w:line="360" w:lineRule="auto"/>
        <w:rPr>
          <w:rFonts w:ascii="仿宋" w:hAnsi="仿宋" w:eastAsia="仿宋" w:cs="仿宋"/>
          <w:sz w:val="24"/>
        </w:rPr>
      </w:pPr>
      <w:r>
        <w:rPr>
          <w:rFonts w:hint="eastAsia" w:ascii="仿宋" w:hAnsi="仿宋" w:eastAsia="仿宋" w:cs="仿宋"/>
          <w:sz w:val="24"/>
        </w:rPr>
        <w:t>致四川省人民医院：</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本公司（公司名称）参加</w:t>
      </w:r>
      <w:r>
        <w:rPr>
          <w:rFonts w:hint="eastAsia" w:ascii="仿宋" w:hAnsi="仿宋" w:eastAsia="仿宋" w:cs="仿宋"/>
          <w:sz w:val="24"/>
          <w:u w:val="single"/>
        </w:rPr>
        <w:t xml:space="preserve">                 （</w:t>
      </w:r>
      <w:r>
        <w:rPr>
          <w:rFonts w:hint="eastAsia" w:ascii="仿宋" w:hAnsi="仿宋" w:eastAsia="仿宋" w:cs="仿宋"/>
          <w:sz w:val="24"/>
        </w:rPr>
        <w:t>项目名称）的比选活动，现承诺：</w:t>
      </w:r>
    </w:p>
    <w:p>
      <w:pPr>
        <w:spacing w:line="360" w:lineRule="auto"/>
        <w:ind w:firstLine="480" w:firstLineChars="200"/>
        <w:rPr>
          <w:rFonts w:ascii="仿宋" w:hAnsi="仿宋" w:eastAsia="仿宋" w:cs="仿宋"/>
          <w:sz w:val="24"/>
        </w:rPr>
      </w:pPr>
      <w:r>
        <w:rPr>
          <w:rFonts w:hint="eastAsia" w:ascii="仿宋" w:hAnsi="仿宋" w:eastAsia="仿宋" w:cs="仿宋"/>
          <w:sz w:val="24"/>
        </w:rPr>
        <w:t>我公司满足关于比选申请人的资格要求，包括（不限于）：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pPr>
        <w:pStyle w:val="2"/>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8）截止比选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11.我方愿意提供贵单位可能另外要求的，与比选报价有关的文件资料，并保证我方已提供和将要提供的文件资料是真实、准确的。</w:t>
      </w:r>
    </w:p>
    <w:p>
      <w:pPr>
        <w:spacing w:line="560" w:lineRule="exact"/>
        <w:ind w:firstLine="482" w:firstLineChars="200"/>
        <w:jc w:val="left"/>
        <w:rPr>
          <w:rFonts w:ascii="仿宋" w:hAnsi="仿宋" w:eastAsia="仿宋" w:cs="仿宋"/>
          <w:b/>
          <w:bCs/>
          <w:sz w:val="24"/>
        </w:rPr>
      </w:pPr>
      <w:r>
        <w:rPr>
          <w:rFonts w:hint="eastAsia" w:ascii="仿宋" w:hAnsi="仿宋" w:eastAsia="仿宋" w:cs="仿宋"/>
          <w:b/>
          <w:bCs/>
          <w:sz w:val="24"/>
        </w:rPr>
        <w:t>12.我方承诺向贵单位供货的同规格型号同质量等级医用物资为全省最低价，办公用品、装修材料、营养科食材、工会福利等为同时期成都市集团采购最低价。</w:t>
      </w:r>
    </w:p>
    <w:p>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pPr>
        <w:adjustRightInd w:val="0"/>
        <w:spacing w:line="360" w:lineRule="auto"/>
        <w:ind w:firstLine="900" w:firstLineChars="375"/>
        <w:rPr>
          <w:rFonts w:ascii="仿宋" w:hAnsi="仿宋" w:eastAsia="仿宋" w:cs="仿宋"/>
          <w:bCs/>
          <w:sz w:val="24"/>
        </w:rPr>
      </w:pPr>
    </w:p>
    <w:p>
      <w:pPr>
        <w:adjustRightInd w:val="0"/>
        <w:spacing w:line="360" w:lineRule="auto"/>
        <w:jc w:val="right"/>
        <w:rPr>
          <w:rFonts w:ascii="仿宋" w:hAnsi="仿宋" w:eastAsia="仿宋" w:cs="仿宋"/>
          <w:bCs/>
          <w:sz w:val="24"/>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adjustRightInd w:val="0"/>
        <w:spacing w:line="360" w:lineRule="auto"/>
        <w:rPr>
          <w:rFonts w:ascii="仿宋" w:hAnsi="仿宋" w:eastAsia="仿宋" w:cs="仿宋"/>
          <w:bCs/>
          <w:sz w:val="32"/>
          <w:szCs w:val="32"/>
        </w:rPr>
      </w:pPr>
    </w:p>
    <w:p>
      <w:pPr>
        <w:rPr>
          <w:b/>
          <w:bCs/>
          <w:sz w:val="44"/>
          <w:szCs w:val="52"/>
        </w:rPr>
      </w:pPr>
      <w:r>
        <w:rPr>
          <w:rFonts w:hint="eastAsia"/>
          <w:b/>
          <w:bCs/>
          <w:sz w:val="44"/>
          <w:szCs w:val="52"/>
        </w:rPr>
        <w:br w:type="page"/>
      </w:r>
    </w:p>
    <w:p>
      <w:pPr>
        <w:spacing w:line="700" w:lineRule="exact"/>
        <w:jc w:val="center"/>
        <w:rPr>
          <w:rFonts w:ascii="仿宋" w:hAnsi="仿宋" w:eastAsia="仿宋" w:cs="仿宋"/>
          <w:b/>
          <w:bCs/>
          <w:sz w:val="32"/>
          <w:szCs w:val="32"/>
        </w:rPr>
      </w:pPr>
      <w:bookmarkStart w:id="55" w:name="_Toc22676"/>
      <w:bookmarkStart w:id="56" w:name="_Toc30971"/>
      <w:bookmarkStart w:id="57" w:name="_Toc31838"/>
      <w:bookmarkStart w:id="58" w:name="_Toc17857"/>
    </w:p>
    <w:p>
      <w:pPr>
        <w:spacing w:line="700" w:lineRule="exact"/>
        <w:jc w:val="center"/>
        <w:outlineLvl w:val="1"/>
        <w:rPr>
          <w:rStyle w:val="29"/>
          <w:rFonts w:ascii="仿宋" w:hAnsi="仿宋" w:eastAsia="仿宋" w:cs="仿宋"/>
          <w:b/>
          <w:bCs/>
          <w:sz w:val="32"/>
          <w:szCs w:val="28"/>
        </w:rPr>
      </w:pPr>
      <w:bookmarkStart w:id="59" w:name="_Toc4305"/>
      <w:r>
        <w:rPr>
          <w:rStyle w:val="29"/>
          <w:rFonts w:hint="eastAsia" w:ascii="仿宋" w:hAnsi="仿宋" w:eastAsia="仿宋" w:cs="仿宋"/>
          <w:b/>
          <w:bCs/>
          <w:sz w:val="32"/>
          <w:szCs w:val="28"/>
        </w:rPr>
        <w:t>二、具有独立承担民事责任的能力</w:t>
      </w:r>
      <w:bookmarkEnd w:id="55"/>
      <w:bookmarkEnd w:id="56"/>
      <w:bookmarkEnd w:id="57"/>
      <w:bookmarkEnd w:id="58"/>
      <w:bookmarkEnd w:id="59"/>
    </w:p>
    <w:p>
      <w:pPr>
        <w:pStyle w:val="2"/>
        <w:jc w:val="center"/>
        <w:rPr>
          <w:rFonts w:ascii="仿宋" w:hAnsi="仿宋" w:eastAsia="仿宋" w:cs="仿宋"/>
          <w:b/>
          <w:bCs/>
        </w:rPr>
      </w:pPr>
    </w:p>
    <w:p>
      <w:pPr>
        <w:pStyle w:val="28"/>
        <w:ind w:firstLine="964" w:firstLineChars="400"/>
        <w:jc w:val="center"/>
        <w:rPr>
          <w:rFonts w:ascii="仿宋" w:hAnsi="仿宋" w:eastAsia="仿宋" w:cs="仿宋"/>
          <w:b/>
          <w:bCs/>
          <w:color w:val="auto"/>
        </w:rPr>
      </w:pPr>
      <w:r>
        <w:rPr>
          <w:rFonts w:hint="eastAsia" w:ascii="仿宋" w:hAnsi="仿宋" w:eastAsia="仿宋" w:cs="仿宋"/>
          <w:b/>
          <w:bCs/>
          <w:color w:val="auto"/>
        </w:rPr>
        <w:t>(</w:t>
      </w:r>
      <w:r>
        <w:rPr>
          <w:rStyle w:val="29"/>
          <w:rFonts w:hint="eastAsia" w:ascii="仿宋" w:hAnsi="仿宋" w:eastAsia="仿宋" w:cs="仿宋"/>
          <w:b/>
          <w:bCs/>
          <w:sz w:val="32"/>
          <w:szCs w:val="28"/>
        </w:rPr>
        <w:t>营业执照</w:t>
      </w:r>
      <w:r>
        <w:rPr>
          <w:rFonts w:hint="eastAsia" w:ascii="仿宋" w:hAnsi="仿宋" w:eastAsia="仿宋" w:cs="仿宋"/>
          <w:b/>
          <w:bCs/>
          <w:color w:val="auto"/>
        </w:rPr>
        <w:t>)</w:t>
      </w:r>
    </w:p>
    <w:p>
      <w:pPr>
        <w:spacing w:line="700" w:lineRule="exact"/>
        <w:jc w:val="center"/>
        <w:outlineLvl w:val="1"/>
        <w:rPr>
          <w:rStyle w:val="29"/>
          <w:rFonts w:ascii="仿宋" w:hAnsi="仿宋" w:eastAsia="仿宋" w:cs="仿宋"/>
          <w:sz w:val="32"/>
          <w:szCs w:val="28"/>
        </w:rPr>
      </w:pPr>
      <w:r>
        <w:rPr>
          <w:rFonts w:hint="eastAsia" w:ascii="仿宋" w:hAnsi="仿宋" w:eastAsia="仿宋" w:cs="仿宋"/>
          <w:b/>
          <w:bCs/>
        </w:rPr>
        <w:br w:type="page"/>
      </w:r>
      <w:bookmarkStart w:id="60" w:name="_Toc15613"/>
      <w:bookmarkStart w:id="61" w:name="_Toc27186"/>
      <w:bookmarkStart w:id="62" w:name="_Toc30158"/>
      <w:r>
        <w:rPr>
          <w:rStyle w:val="29"/>
          <w:rFonts w:hint="eastAsia" w:ascii="仿宋" w:hAnsi="仿宋" w:eastAsia="仿宋" w:cs="仿宋"/>
          <w:b/>
          <w:bCs/>
          <w:sz w:val="32"/>
          <w:szCs w:val="28"/>
        </w:rPr>
        <w:t>三、具有健全的财务会计制度的证明材料</w:t>
      </w:r>
      <w:r>
        <w:rPr>
          <w:rFonts w:hint="eastAsia" w:ascii="仿宋" w:hAnsi="仿宋" w:eastAsia="仿宋" w:cs="仿宋"/>
          <w:b/>
          <w:bCs/>
          <w:sz w:val="32"/>
          <w:szCs w:val="32"/>
        </w:rPr>
        <w:br w:type="page"/>
      </w:r>
      <w:bookmarkEnd w:id="60"/>
      <w:bookmarkEnd w:id="61"/>
      <w:bookmarkStart w:id="63" w:name="_Toc13706"/>
      <w:bookmarkStart w:id="64" w:name="_Toc13904"/>
      <w:bookmarkStart w:id="65" w:name="_Toc25357"/>
    </w:p>
    <w:p>
      <w:pPr>
        <w:spacing w:line="700" w:lineRule="exact"/>
        <w:jc w:val="center"/>
        <w:outlineLvl w:val="1"/>
        <w:rPr>
          <w:rStyle w:val="29"/>
          <w:rFonts w:ascii="仿宋" w:hAnsi="仿宋" w:eastAsia="仿宋" w:cs="仿宋"/>
          <w:b/>
          <w:bCs/>
          <w:sz w:val="32"/>
          <w:szCs w:val="28"/>
        </w:rPr>
      </w:pPr>
      <w:bookmarkStart w:id="66" w:name="_Toc15508"/>
      <w:bookmarkStart w:id="67" w:name="_Toc23146"/>
      <w:r>
        <w:rPr>
          <w:rStyle w:val="29"/>
          <w:rFonts w:hint="eastAsia" w:ascii="仿宋" w:hAnsi="仿宋" w:eastAsia="仿宋" w:cs="仿宋"/>
          <w:b/>
          <w:bCs/>
          <w:sz w:val="32"/>
          <w:szCs w:val="28"/>
        </w:rPr>
        <w:t>四、本项目特定资格条件提供的证明材料</w:t>
      </w:r>
      <w:bookmarkEnd w:id="62"/>
      <w:bookmarkEnd w:id="63"/>
      <w:bookmarkEnd w:id="64"/>
      <w:bookmarkEnd w:id="65"/>
      <w:bookmarkEnd w:id="66"/>
      <w:bookmarkEnd w:id="67"/>
    </w:p>
    <w:p>
      <w:pPr>
        <w:pStyle w:val="28"/>
        <w:ind w:left="420" w:leftChars="200"/>
        <w:jc w:val="center"/>
        <w:rPr>
          <w:rFonts w:ascii="仿宋" w:hAnsi="仿宋" w:eastAsia="仿宋" w:cs="仿宋"/>
          <w:color w:val="auto"/>
          <w:sz w:val="32"/>
          <w:szCs w:val="32"/>
        </w:rPr>
      </w:pPr>
    </w:p>
    <w:p>
      <w:pPr>
        <w:pStyle w:val="2"/>
        <w:rPr>
          <w:rFonts w:ascii="仿宋" w:hAnsi="仿宋" w:eastAsia="仿宋" w:cs="仿宋"/>
        </w:rPr>
      </w:pPr>
    </w:p>
    <w:p>
      <w:pPr>
        <w:pStyle w:val="28"/>
        <w:ind w:firstLine="480" w:firstLineChars="200"/>
        <w:rPr>
          <w:rFonts w:ascii="仿宋" w:hAnsi="仿宋" w:eastAsia="仿宋" w:cs="仿宋"/>
          <w:color w:val="auto"/>
        </w:rPr>
      </w:pPr>
      <w:r>
        <w:rPr>
          <w:rFonts w:hint="eastAsia" w:ascii="仿宋" w:hAnsi="仿宋" w:eastAsia="仿宋" w:cs="仿宋"/>
          <w:color w:val="auto"/>
        </w:rPr>
        <w:t>(......)</w:t>
      </w:r>
    </w:p>
    <w:p>
      <w:pPr>
        <w:pStyle w:val="28"/>
        <w:ind w:left="420" w:leftChars="200"/>
        <w:jc w:val="both"/>
        <w:rPr>
          <w:rFonts w:ascii="仿宋" w:hAnsi="仿宋" w:eastAsia="仿宋" w:cs="仿宋"/>
          <w:color w:val="auto"/>
        </w:rPr>
      </w:pPr>
    </w:p>
    <w:p>
      <w:pPr>
        <w:pStyle w:val="28"/>
        <w:jc w:val="both"/>
        <w:rPr>
          <w:rFonts w:ascii="仿宋" w:hAnsi="仿宋" w:eastAsia="仿宋" w:cs="仿宋"/>
          <w:iCs/>
          <w:color w:val="auto"/>
        </w:rPr>
      </w:pPr>
      <w:r>
        <w:rPr>
          <w:rFonts w:hint="eastAsia" w:ascii="仿宋" w:hAnsi="仿宋" w:eastAsia="仿宋" w:cs="仿宋"/>
          <w:iCs/>
          <w:color w:val="auto"/>
        </w:rPr>
        <w:t>（若未涉及，填“无”即可）</w:t>
      </w:r>
    </w:p>
    <w:p>
      <w:pPr>
        <w:pStyle w:val="15"/>
        <w:jc w:val="center"/>
        <w:outlineLvl w:val="1"/>
        <w:rPr>
          <w:rFonts w:ascii="仿宋" w:hAnsi="仿宋" w:eastAsia="仿宋" w:cs="仿宋"/>
          <w:sz w:val="32"/>
          <w:szCs w:val="32"/>
        </w:rPr>
      </w:pPr>
      <w:r>
        <w:rPr>
          <w:rFonts w:hint="eastAsia" w:ascii="仿宋" w:hAnsi="仿宋" w:eastAsia="仿宋" w:cs="仿宋"/>
          <w:sz w:val="32"/>
          <w:szCs w:val="32"/>
        </w:rPr>
        <w:br w:type="page"/>
      </w:r>
      <w:bookmarkStart w:id="68" w:name="_Toc25638"/>
      <w:bookmarkStart w:id="69" w:name="_Toc15526"/>
      <w:bookmarkStart w:id="70" w:name="_Toc27661"/>
      <w:bookmarkStart w:id="71" w:name="_Toc12015"/>
      <w:bookmarkStart w:id="72" w:name="_Toc20589"/>
      <w:bookmarkStart w:id="73" w:name="_Toc11351"/>
      <w:r>
        <w:rPr>
          <w:rStyle w:val="29"/>
          <w:rFonts w:hint="eastAsia" w:ascii="仿宋" w:hAnsi="仿宋" w:eastAsia="仿宋" w:cs="仿宋"/>
          <w:b/>
          <w:bCs/>
          <w:sz w:val="32"/>
          <w:szCs w:val="28"/>
        </w:rPr>
        <w:t>五、法定代表人身份证明书</w:t>
      </w:r>
      <w:bookmarkEnd w:id="68"/>
      <w:bookmarkEnd w:id="69"/>
      <w:bookmarkEnd w:id="70"/>
      <w:bookmarkEnd w:id="71"/>
      <w:bookmarkEnd w:id="72"/>
      <w:bookmarkEnd w:id="73"/>
    </w:p>
    <w:p>
      <w:pPr>
        <w:pStyle w:val="28"/>
        <w:jc w:val="center"/>
        <w:rPr>
          <w:rFonts w:ascii="仿宋" w:hAnsi="仿宋" w:eastAsia="仿宋" w:cs="仿宋"/>
          <w:color w:val="auto"/>
        </w:rPr>
      </w:pPr>
    </w:p>
    <w:p>
      <w:pPr>
        <w:pStyle w:val="28"/>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pPr>
        <w:pStyle w:val="28"/>
        <w:jc w:val="center"/>
        <w:rPr>
          <w:rFonts w:ascii="仿宋" w:hAnsi="仿宋" w:eastAsia="仿宋" w:cs="仿宋"/>
          <w:color w:val="auto"/>
        </w:rPr>
      </w:pPr>
    </w:p>
    <w:p>
      <w:pPr>
        <w:pStyle w:val="28"/>
        <w:jc w:val="center"/>
        <w:rPr>
          <w:rFonts w:ascii="仿宋" w:hAnsi="仿宋" w:eastAsia="仿宋" w:cs="仿宋"/>
          <w:color w:val="auto"/>
        </w:rPr>
      </w:pPr>
    </w:p>
    <w:p>
      <w:pPr>
        <w:pStyle w:val="28"/>
        <w:ind w:firstLine="480" w:firstLineChars="200"/>
        <w:rPr>
          <w:rFonts w:ascii="仿宋" w:hAnsi="仿宋" w:eastAsia="仿宋" w:cs="仿宋"/>
          <w:color w:val="auto"/>
        </w:rPr>
      </w:pPr>
      <w:r>
        <w:rPr>
          <w:rFonts w:hint="eastAsia" w:ascii="仿宋" w:hAnsi="仿宋" w:eastAsia="仿宋" w:cs="仿宋"/>
          <w:color w:val="auto"/>
        </w:rPr>
        <w:t>________(姓名）系___________________（比选申请人名称）的法定代表人/单位负责人（职务：_____________,电话：_________________）。</w:t>
      </w:r>
    </w:p>
    <w:p>
      <w:pPr>
        <w:pStyle w:val="28"/>
        <w:rPr>
          <w:rFonts w:ascii="仿宋" w:hAnsi="仿宋" w:eastAsia="仿宋" w:cs="仿宋"/>
          <w:color w:val="auto"/>
        </w:rPr>
      </w:pPr>
      <w:r>
        <w:rPr>
          <w:rFonts w:hint="eastAsia" w:ascii="仿宋" w:hAnsi="仿宋" w:eastAsia="仿宋" w:cs="仿宋"/>
          <w:color w:val="auto"/>
        </w:rPr>
        <w:t>特此证明。</w:t>
      </w:r>
    </w:p>
    <w:p>
      <w:pPr>
        <w:pStyle w:val="28"/>
        <w:jc w:val="both"/>
        <w:rPr>
          <w:rFonts w:ascii="仿宋" w:hAnsi="仿宋" w:eastAsia="仿宋" w:cs="仿宋"/>
          <w:color w:val="auto"/>
        </w:rPr>
      </w:pPr>
    </w:p>
    <w:p>
      <w:pPr>
        <w:pStyle w:val="28"/>
        <w:jc w:val="both"/>
        <w:rPr>
          <w:rFonts w:ascii="仿宋" w:hAnsi="仿宋" w:eastAsia="仿宋" w:cs="仿宋"/>
          <w:color w:val="auto"/>
        </w:rPr>
      </w:pPr>
    </w:p>
    <w:p>
      <w:pPr>
        <w:adjustRightInd w:val="0"/>
        <w:spacing w:line="360" w:lineRule="auto"/>
        <w:jc w:val="left"/>
        <w:rPr>
          <w:rFonts w:ascii="仿宋" w:hAnsi="仿宋" w:eastAsia="仿宋" w:cs="仿宋"/>
          <w:bCs/>
          <w:sz w:val="24"/>
        </w:rPr>
      </w:pPr>
      <w:r>
        <w:rPr>
          <w:rFonts w:hint="eastAsia" w:ascii="仿宋" w:hAnsi="仿宋" w:eastAsia="仿宋" w:cs="仿宋"/>
          <w:bCs/>
          <w:sz w:val="24"/>
        </w:rPr>
        <w:t>比选申请人名称：        （盖章）</w:t>
      </w:r>
    </w:p>
    <w:p>
      <w:pPr>
        <w:pStyle w:val="2"/>
        <w:jc w:val="left"/>
        <w:rPr>
          <w:rFonts w:ascii="仿宋" w:hAnsi="仿宋" w:eastAsia="仿宋" w:cs="仿宋"/>
          <w:sz w:val="24"/>
        </w:rPr>
      </w:pPr>
      <w:r>
        <w:rPr>
          <w:rFonts w:hint="eastAsia" w:ascii="仿宋" w:hAnsi="仿宋" w:eastAsia="仿宋" w:cs="仿宋"/>
          <w:bCs/>
          <w:sz w:val="24"/>
        </w:rPr>
        <w:t>时间：</w:t>
      </w:r>
    </w:p>
    <w:p>
      <w:pPr>
        <w:pStyle w:val="28"/>
        <w:jc w:val="center"/>
        <w:rPr>
          <w:rFonts w:ascii="仿宋" w:hAnsi="仿宋" w:eastAsia="仿宋" w:cs="仿宋"/>
          <w:color w:val="auto"/>
        </w:rPr>
      </w:pPr>
    </w:p>
    <w:p>
      <w:pPr>
        <w:pStyle w:val="28"/>
        <w:jc w:val="center"/>
        <w:rPr>
          <w:rFonts w:ascii="仿宋" w:hAnsi="仿宋" w:eastAsia="仿宋" w:cs="仿宋"/>
          <w:color w:val="auto"/>
        </w:rPr>
      </w:pPr>
    </w:p>
    <w:p>
      <w:pPr>
        <w:pStyle w:val="28"/>
        <w:rPr>
          <w:rFonts w:ascii="仿宋" w:hAnsi="仿宋" w:eastAsia="仿宋" w:cs="仿宋"/>
          <w:color w:val="auto"/>
        </w:rPr>
      </w:pPr>
      <w:r>
        <w:rPr>
          <w:rFonts w:hint="eastAsia" w:ascii="仿宋" w:hAnsi="仿宋" w:eastAsia="仿宋" w:cs="仿宋"/>
          <w:color w:val="auto"/>
        </w:rPr>
        <w:t>注：</w:t>
      </w:r>
    </w:p>
    <w:p>
      <w:pPr>
        <w:pStyle w:val="28"/>
        <w:rPr>
          <w:rFonts w:ascii="仿宋" w:hAnsi="仿宋" w:eastAsia="仿宋" w:cs="仿宋"/>
          <w:color w:val="auto"/>
        </w:rPr>
      </w:pPr>
      <w:r>
        <w:rPr>
          <w:rFonts w:hint="eastAsia" w:ascii="仿宋" w:hAnsi="仿宋" w:eastAsia="仿宋" w:cs="仿宋"/>
          <w:color w:val="auto"/>
        </w:rPr>
        <w:t>1.比选申请人为自然人时提供“自然人身份证明材料”。</w:t>
      </w:r>
    </w:p>
    <w:p>
      <w:pPr>
        <w:pStyle w:val="28"/>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pPr>
        <w:pStyle w:val="28"/>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pPr>
        <w:pStyle w:val="28"/>
        <w:jc w:val="both"/>
        <w:rPr>
          <w:rFonts w:ascii="仿宋" w:hAnsi="仿宋" w:eastAsia="仿宋" w:cs="仿宋"/>
          <w:color w:val="auto"/>
        </w:rPr>
      </w:pPr>
      <w:r>
        <w:rPr>
          <w:rFonts w:hint="eastAsia" w:ascii="仿宋" w:hAnsi="仿宋" w:eastAsia="仿宋" w:cs="仿宋"/>
          <w:color w:val="auto"/>
        </w:rPr>
        <w:t>4.此授权书盖章位置未做强制性要求。</w:t>
      </w:r>
    </w:p>
    <w:p>
      <w:pPr>
        <w:pStyle w:val="28"/>
        <w:jc w:val="both"/>
        <w:rPr>
          <w:rFonts w:ascii="仿宋" w:hAnsi="仿宋" w:eastAsia="仿宋" w:cs="仿宋"/>
          <w:color w:val="auto"/>
          <w:sz w:val="32"/>
          <w:szCs w:val="32"/>
        </w:rPr>
      </w:pPr>
    </w:p>
    <w:p>
      <w:pPr>
        <w:pStyle w:val="28"/>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29"/>
          <w:rFonts w:hint="eastAsia" w:ascii="仿宋" w:hAnsi="仿宋" w:eastAsia="仿宋" w:cs="仿宋"/>
          <w:b/>
          <w:bCs/>
          <w:color w:val="auto"/>
          <w:kern w:val="2"/>
          <w:sz w:val="32"/>
          <w:szCs w:val="28"/>
        </w:rPr>
        <w:t>法定代表人授权委托书</w:t>
      </w:r>
    </w:p>
    <w:p>
      <w:pPr>
        <w:pStyle w:val="28"/>
        <w:jc w:val="center"/>
        <w:rPr>
          <w:rFonts w:ascii="仿宋" w:hAnsi="仿宋" w:eastAsia="仿宋" w:cs="仿宋"/>
          <w:b/>
          <w:bCs/>
          <w:color w:val="auto"/>
        </w:rPr>
      </w:pPr>
    </w:p>
    <w:p>
      <w:pPr>
        <w:pStyle w:val="28"/>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pPr>
        <w:pStyle w:val="28"/>
        <w:jc w:val="center"/>
        <w:rPr>
          <w:rFonts w:ascii="仿宋" w:hAnsi="仿宋" w:eastAsia="仿宋" w:cs="仿宋"/>
          <w:color w:val="auto"/>
        </w:rPr>
      </w:pPr>
    </w:p>
    <w:p>
      <w:pPr>
        <w:pStyle w:val="2"/>
        <w:snapToGrid w:val="0"/>
        <w:spacing w:after="0" w:line="500" w:lineRule="exact"/>
        <w:ind w:firstLine="480" w:firstLineChars="200"/>
        <w:rPr>
          <w:rFonts w:ascii="仿宋" w:hAnsi="仿宋" w:eastAsia="仿宋" w:cs="仿宋"/>
          <w:sz w:val="24"/>
        </w:rPr>
      </w:pPr>
    </w:p>
    <w:p>
      <w:pPr>
        <w:pStyle w:val="2"/>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（比选申请人名称）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院委托代理人，以本单位的名义参加项目的比选活动。委托代理人在比选活动和评比、谈判以及合同签订过程中所签署的一切文件和处理与之有关的一切事务，我及我公司均予以承认，并全部承担其产生的所有权利和义务。</w:t>
      </w:r>
    </w:p>
    <w:p>
      <w:pPr>
        <w:pStyle w:val="2"/>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pPr>
        <w:snapToGrid w:val="0"/>
        <w:spacing w:line="560" w:lineRule="exact"/>
        <w:ind w:firstLine="480" w:firstLineChars="200"/>
        <w:rPr>
          <w:rFonts w:ascii="仿宋" w:hAnsi="仿宋" w:eastAsia="仿宋" w:cs="仿宋"/>
          <w:sz w:val="24"/>
        </w:rPr>
      </w:pPr>
    </w:p>
    <w:p>
      <w:pPr>
        <w:snapToGrid w:val="0"/>
        <w:spacing w:line="560" w:lineRule="exact"/>
        <w:ind w:firstLine="480" w:firstLineChars="200"/>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pPr>
        <w:snapToGrid w:val="0"/>
        <w:spacing w:line="560" w:lineRule="exact"/>
        <w:rPr>
          <w:rFonts w:ascii="仿宋" w:hAnsi="仿宋" w:eastAsia="仿宋" w:cs="仿宋"/>
          <w:sz w:val="24"/>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t>3.此授权书盖章位置未做强制性要求。</w:t>
      </w:r>
      <w:r>
        <w:rPr>
          <w:rFonts w:hint="eastAsia" w:ascii="仿宋" w:hAnsi="仿宋" w:eastAsia="仿宋" w:cs="仿宋"/>
          <w:sz w:val="24"/>
        </w:rPr>
        <w:cr/>
      </w:r>
    </w:p>
    <w:p>
      <w:pPr>
        <w:pStyle w:val="28"/>
        <w:jc w:val="center"/>
        <w:outlineLvl w:val="1"/>
        <w:rPr>
          <w:rFonts w:ascii="仿宋" w:hAnsi="仿宋" w:eastAsia="仿宋" w:cs="仿宋"/>
          <w:color w:val="auto"/>
          <w:sz w:val="32"/>
          <w:szCs w:val="32"/>
        </w:rPr>
      </w:pPr>
      <w:r>
        <w:rPr>
          <w:rFonts w:hint="eastAsia" w:ascii="仿宋" w:hAnsi="仿宋" w:eastAsia="仿宋" w:cs="仿宋"/>
          <w:color w:val="auto"/>
          <w:sz w:val="32"/>
          <w:szCs w:val="32"/>
        </w:rPr>
        <w:br w:type="page"/>
      </w:r>
      <w:bookmarkStart w:id="74" w:name="_Toc12967"/>
      <w:bookmarkStart w:id="75" w:name="_Toc2041"/>
      <w:bookmarkStart w:id="76" w:name="_Toc23967"/>
      <w:bookmarkStart w:id="77" w:name="_Toc1074"/>
      <w:bookmarkStart w:id="78" w:name="_Toc16435"/>
      <w:bookmarkStart w:id="79" w:name="_Toc26969"/>
      <w:r>
        <w:rPr>
          <w:rStyle w:val="29"/>
          <w:rFonts w:hint="eastAsia" w:ascii="仿宋" w:hAnsi="仿宋" w:eastAsia="仿宋" w:cs="仿宋"/>
          <w:b/>
          <w:bCs/>
          <w:color w:val="auto"/>
          <w:kern w:val="2"/>
          <w:sz w:val="32"/>
          <w:szCs w:val="28"/>
        </w:rPr>
        <w:t>六、采购需求偏离表</w:t>
      </w:r>
      <w:bookmarkEnd w:id="74"/>
      <w:bookmarkEnd w:id="75"/>
      <w:bookmarkEnd w:id="76"/>
      <w:bookmarkEnd w:id="77"/>
      <w:bookmarkEnd w:id="78"/>
      <w:bookmarkEnd w:id="79"/>
    </w:p>
    <w:p>
      <w:pPr>
        <w:pStyle w:val="2"/>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kern w:val="0"/>
                <w:sz w:val="24"/>
              </w:rPr>
              <w:t>比选</w:t>
            </w:r>
            <w:r>
              <w:rPr>
                <w:rFonts w:hint="eastAsia" w:ascii="仿宋" w:hAnsi="仿宋" w:eastAsia="仿宋" w:cs="仿宋"/>
                <w:b/>
                <w:kern w:val="0"/>
                <w:sz w:val="24"/>
                <w:lang w:val="zh-TW"/>
              </w:rPr>
              <w:t>申请</w:t>
            </w:r>
            <w:r>
              <w:rPr>
                <w:rFonts w:hint="eastAsia" w:ascii="仿宋" w:hAnsi="仿宋" w:eastAsia="仿宋" w:cs="仿宋"/>
                <w:b/>
                <w:kern w:val="0"/>
                <w:sz w:val="24"/>
                <w:lang w:val="zh-TW" w:eastAsia="zh-TW"/>
              </w:rPr>
              <w:t>文件响应情况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申请</w:t>
            </w:r>
            <w:r>
              <w:rPr>
                <w:rFonts w:hint="eastAsia" w:ascii="仿宋" w:hAnsi="仿宋" w:eastAsia="仿宋" w:cs="仿宋"/>
                <w:b/>
                <w:sz w:val="24"/>
                <w:lang w:val="zh-TW" w:eastAsia="zh-TW"/>
              </w:rPr>
              <w:t>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rPr>
                <w:rFonts w:ascii="仿宋" w:hAnsi="仿宋" w:eastAsia="仿宋" w:cs="仿宋"/>
                <w:sz w:val="24"/>
              </w:rPr>
            </w:pPr>
          </w:p>
        </w:tc>
      </w:tr>
    </w:tbl>
    <w:p>
      <w:pPr>
        <w:spacing w:line="360" w:lineRule="auto"/>
        <w:jc w:val="left"/>
        <w:rPr>
          <w:rFonts w:ascii="仿宋" w:hAnsi="仿宋" w:eastAsia="仿宋" w:cs="仿宋"/>
          <w:bCs/>
          <w:sz w:val="24"/>
        </w:rPr>
      </w:pPr>
    </w:p>
    <w:p>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1.比选申请人必须按采购需求的内容据实填写，不得虚假响应，否则将取消其参选或中选资格并按规定追究其相关责任。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pPr>
        <w:pStyle w:val="15"/>
        <w:ind w:firstLine="0"/>
        <w:rPr>
          <w:rFonts w:ascii="仿宋" w:hAnsi="仿宋" w:eastAsia="仿宋" w:cs="仿宋"/>
          <w:lang w:val="zh-TW" w:eastAsia="zh-TW"/>
        </w:rPr>
      </w:pPr>
    </w:p>
    <w:p>
      <w:pPr>
        <w:snapToGrid w:val="0"/>
        <w:spacing w:line="560" w:lineRule="exact"/>
        <w:rPr>
          <w:rFonts w:ascii="仿宋" w:hAnsi="仿宋" w:eastAsia="仿宋" w:cs="仿宋"/>
          <w:sz w:val="24"/>
        </w:rPr>
      </w:pPr>
      <w:r>
        <w:rPr>
          <w:rFonts w:hint="eastAsia" w:ascii="仿宋" w:hAnsi="仿宋" w:eastAsia="仿宋" w:cs="仿宋"/>
          <w:sz w:val="24"/>
        </w:rPr>
        <w:t>比选申请人名称：        （盖章）</w:t>
      </w:r>
    </w:p>
    <w:p>
      <w:pPr>
        <w:snapToGrid w:val="0"/>
        <w:spacing w:line="560" w:lineRule="exact"/>
        <w:rPr>
          <w:rFonts w:ascii="仿宋" w:hAnsi="仿宋" w:eastAsia="仿宋" w:cs="仿宋"/>
          <w:sz w:val="24"/>
        </w:rPr>
      </w:pPr>
      <w:r>
        <w:rPr>
          <w:rFonts w:hint="eastAsia" w:ascii="仿宋" w:hAnsi="仿宋" w:eastAsia="仿宋" w:cs="仿宋"/>
          <w:sz w:val="24"/>
        </w:rPr>
        <w:t>时间：</w:t>
      </w:r>
    </w:p>
    <w:p>
      <w:pPr>
        <w:pStyle w:val="28"/>
        <w:jc w:val="center"/>
        <w:rPr>
          <w:rFonts w:ascii="仿宋" w:hAnsi="仿宋" w:eastAsia="仿宋" w:cs="仿宋"/>
          <w:color w:val="auto"/>
          <w:sz w:val="32"/>
          <w:szCs w:val="32"/>
        </w:rPr>
      </w:pPr>
    </w:p>
    <w:p>
      <w:pPr>
        <w:pStyle w:val="28"/>
        <w:jc w:val="center"/>
        <w:outlineLvl w:val="1"/>
        <w:rPr>
          <w:rFonts w:ascii="仿宋" w:hAnsi="仿宋" w:eastAsia="仿宋" w:cs="仿宋"/>
          <w:b/>
          <w:bCs/>
          <w:color w:val="auto"/>
          <w:sz w:val="32"/>
          <w:szCs w:val="32"/>
        </w:rPr>
      </w:pPr>
      <w:r>
        <w:rPr>
          <w:rFonts w:hint="eastAsia" w:ascii="仿宋" w:hAnsi="仿宋" w:eastAsia="仿宋" w:cs="仿宋"/>
          <w:color w:val="auto"/>
          <w:sz w:val="32"/>
          <w:szCs w:val="32"/>
        </w:rPr>
        <w:br w:type="page"/>
      </w:r>
      <w:bookmarkStart w:id="80" w:name="_Toc31686"/>
      <w:bookmarkStart w:id="81" w:name="_Toc24806"/>
      <w:bookmarkStart w:id="82" w:name="_Toc1369"/>
      <w:bookmarkStart w:id="83" w:name="_Toc21082"/>
      <w:bookmarkStart w:id="84" w:name="_Toc28634"/>
      <w:bookmarkStart w:id="85" w:name="_Toc26839"/>
      <w:r>
        <w:rPr>
          <w:rStyle w:val="29"/>
          <w:rFonts w:hint="eastAsia" w:ascii="仿宋" w:hAnsi="仿宋" w:eastAsia="仿宋" w:cs="仿宋"/>
          <w:b/>
          <w:bCs/>
          <w:color w:val="auto"/>
          <w:kern w:val="2"/>
          <w:sz w:val="32"/>
          <w:szCs w:val="28"/>
        </w:rPr>
        <w:t>七、评分需要提供的证明材料</w:t>
      </w:r>
      <w:bookmarkEnd w:id="80"/>
      <w:bookmarkEnd w:id="81"/>
      <w:bookmarkEnd w:id="82"/>
      <w:bookmarkEnd w:id="83"/>
      <w:bookmarkEnd w:id="84"/>
      <w:bookmarkEnd w:id="85"/>
    </w:p>
    <w:p>
      <w:pPr>
        <w:pStyle w:val="28"/>
        <w:ind w:firstLine="480" w:firstLineChars="200"/>
        <w:jc w:val="both"/>
        <w:rPr>
          <w:rFonts w:ascii="仿宋" w:hAnsi="仿宋" w:eastAsia="仿宋" w:cs="仿宋"/>
          <w:color w:val="auto"/>
        </w:rPr>
      </w:pPr>
      <w:r>
        <w:rPr>
          <w:rFonts w:hint="eastAsia" w:ascii="仿宋" w:hAnsi="仿宋" w:eastAsia="仿宋" w:cs="仿宋"/>
          <w:color w:val="auto"/>
        </w:rPr>
        <w:t>比选申请人应根据评分明细表中评审因素的顺序依次提供证明材料，内容和格式自拟。</w:t>
      </w:r>
    </w:p>
    <w:p>
      <w:pPr>
        <w:pStyle w:val="28"/>
        <w:jc w:val="center"/>
        <w:rPr>
          <w:rFonts w:ascii="仿宋" w:hAnsi="仿宋" w:eastAsia="仿宋" w:cs="仿宋"/>
          <w:b/>
          <w:bCs/>
          <w:color w:val="auto"/>
        </w:rPr>
      </w:pPr>
    </w:p>
    <w:p>
      <w:pPr>
        <w:rPr>
          <w:rFonts w:ascii="仿宋" w:hAnsi="仿宋" w:eastAsia="仿宋" w:cs="仿宋"/>
          <w:sz w:val="24"/>
          <w:szCs w:val="24"/>
        </w:rPr>
      </w:pPr>
      <w:r>
        <w:rPr>
          <w:rFonts w:hint="eastAsia" w:ascii="仿宋" w:hAnsi="仿宋" w:eastAsia="仿宋" w:cs="仿宋"/>
          <w:sz w:val="24"/>
          <w:szCs w:val="24"/>
        </w:rPr>
        <w:t>（一）暂用评审因素一代替：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（二）暂用评审因素二代替：</w:t>
      </w:r>
    </w:p>
    <w:p>
      <w:pPr>
        <w:rPr>
          <w:rFonts w:ascii="仿宋" w:hAnsi="仿宋" w:eastAsia="仿宋" w:cs="仿宋"/>
          <w:sz w:val="24"/>
          <w:szCs w:val="24"/>
        </w:rPr>
      </w:pPr>
      <w:r>
        <w:rPr>
          <w:rFonts w:hint="eastAsia" w:ascii="仿宋" w:hAnsi="仿宋" w:eastAsia="仿宋" w:cs="仿宋"/>
          <w:sz w:val="24"/>
          <w:szCs w:val="24"/>
        </w:rPr>
        <w:t>(......)</w:t>
      </w:r>
    </w:p>
    <w:p>
      <w:pPr>
        <w:rPr>
          <w:rFonts w:ascii="仿宋" w:hAnsi="仿宋" w:eastAsia="仿宋" w:cs="仿宋"/>
          <w:sz w:val="24"/>
          <w:szCs w:val="24"/>
        </w:rPr>
      </w:pPr>
    </w:p>
    <w:p>
      <w:pPr>
        <w:rPr>
          <w:rFonts w:ascii="仿宋" w:hAnsi="仿宋" w:eastAsia="仿宋" w:cs="仿宋"/>
          <w:sz w:val="24"/>
          <w:szCs w:val="24"/>
        </w:rPr>
      </w:pPr>
      <w:r>
        <w:rPr>
          <w:rFonts w:hint="eastAsia" w:ascii="仿宋" w:hAnsi="仿宋" w:eastAsia="仿宋" w:cs="仿宋"/>
          <w:sz w:val="24"/>
          <w:szCs w:val="24"/>
        </w:rPr>
        <w:t>（三）暂用评审因素三代替：</w:t>
      </w:r>
    </w:p>
    <w:p>
      <w:pPr>
        <w:rPr>
          <w:rFonts w:ascii="仿宋" w:hAnsi="仿宋" w:eastAsia="仿宋" w:cs="仿宋"/>
          <w:sz w:val="24"/>
          <w:szCs w:val="24"/>
        </w:rPr>
      </w:pPr>
      <w:r>
        <w:rPr>
          <w:rFonts w:hint="eastAsia" w:ascii="仿宋" w:hAnsi="仿宋" w:eastAsia="仿宋" w:cs="仿宋"/>
          <w:sz w:val="24"/>
          <w:szCs w:val="24"/>
        </w:rPr>
        <w:t>(......)</w:t>
      </w:r>
    </w:p>
    <w:p>
      <w:pPr>
        <w:spacing w:line="700" w:lineRule="exact"/>
        <w:jc w:val="center"/>
        <w:rPr>
          <w:rStyle w:val="29"/>
          <w:rFonts w:ascii="仿宋" w:hAnsi="仿宋" w:eastAsia="仿宋" w:cs="仿宋"/>
          <w:sz w:val="32"/>
          <w:szCs w:val="28"/>
        </w:rPr>
      </w:pPr>
      <w:r>
        <w:rPr>
          <w:rFonts w:hint="eastAsia" w:ascii="仿宋" w:hAnsi="仿宋" w:eastAsia="仿宋" w:cs="仿宋"/>
          <w:b/>
          <w:bCs/>
          <w:sz w:val="32"/>
          <w:szCs w:val="32"/>
        </w:rPr>
        <w:br w:type="page"/>
      </w:r>
      <w:bookmarkStart w:id="86" w:name="_Toc32605"/>
      <w:bookmarkStart w:id="87" w:name="_Toc3871"/>
      <w:bookmarkStart w:id="88" w:name="_Toc24494"/>
    </w:p>
    <w:p>
      <w:pPr>
        <w:spacing w:line="700" w:lineRule="exact"/>
        <w:jc w:val="center"/>
        <w:outlineLvl w:val="1"/>
        <w:rPr>
          <w:rStyle w:val="29"/>
          <w:rFonts w:ascii="仿宋" w:hAnsi="仿宋" w:eastAsia="仿宋" w:cs="仿宋"/>
          <w:b/>
          <w:bCs/>
          <w:sz w:val="32"/>
          <w:szCs w:val="28"/>
        </w:rPr>
      </w:pPr>
      <w:bookmarkStart w:id="89" w:name="_Toc15065"/>
      <w:r>
        <w:rPr>
          <w:rStyle w:val="29"/>
          <w:rFonts w:hint="eastAsia" w:ascii="仿宋" w:hAnsi="仿宋" w:eastAsia="仿宋" w:cs="仿宋"/>
          <w:b/>
          <w:bCs/>
          <w:sz w:val="32"/>
          <w:szCs w:val="28"/>
        </w:rPr>
        <w:t>八、报价单</w:t>
      </w:r>
      <w:bookmarkEnd w:id="89"/>
    </w:p>
    <w:p>
      <w:pPr>
        <w:ind w:firstLine="660"/>
        <w:rPr>
          <w:rFonts w:ascii="仿宋" w:hAnsi="仿宋" w:eastAsia="仿宋" w:cs="仿宋"/>
          <w:sz w:val="24"/>
          <w:szCs w:val="24"/>
          <w:lang w:val="zh-TW" w:eastAsia="zh-TW"/>
        </w:rPr>
      </w:pPr>
      <w:r>
        <w:rPr>
          <w:rFonts w:hint="eastAsia" w:ascii="仿宋" w:hAnsi="仿宋" w:eastAsia="仿宋" w:cs="仿宋"/>
          <w:sz w:val="24"/>
          <w:szCs w:val="24"/>
          <w:lang w:val="zh-TW" w:eastAsia="zh-TW"/>
        </w:rPr>
        <w:t>我单位作为参选人</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也深知所承诺的事项和作出的报价可能给我方带来的风险和后果。如果我方在评审活动中有弄虚作假等违法违规行为，以及中选后因报价低或不执行承诺条款而不履约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本单位愿承担一切责任（包括赔偿损失、取消评审及中选资格等），我单位本次报价为：</w:t>
      </w:r>
    </w:p>
    <w:p>
      <w:pPr>
        <w:pStyle w:val="2"/>
        <w:rPr>
          <w:rFonts w:ascii="仿宋" w:hAnsi="仿宋" w:eastAsia="仿宋" w:cs="仿宋"/>
          <w:b/>
          <w:bCs/>
          <w:color w:val="FF0000"/>
          <w:lang w:val="zh-TW"/>
        </w:rPr>
      </w:pPr>
      <w:r>
        <w:rPr>
          <w:rFonts w:hint="eastAsia" w:ascii="仿宋" w:hAnsi="仿宋" w:eastAsia="仿宋" w:cs="仿宋"/>
          <w:b/>
          <w:bCs/>
          <w:color w:val="FF0000"/>
          <w:lang w:val="zh-TW" w:eastAsia="zh-TW"/>
        </w:rPr>
        <w:t>注意事项</w:t>
      </w:r>
      <w:r>
        <w:rPr>
          <w:rFonts w:hint="eastAsia" w:ascii="仿宋" w:hAnsi="仿宋" w:eastAsia="仿宋" w:cs="仿宋"/>
          <w:b/>
          <w:bCs/>
          <w:color w:val="FF0000"/>
          <w:lang w:val="zh-TW"/>
        </w:rPr>
        <w:t>：</w:t>
      </w:r>
    </w:p>
    <w:p>
      <w:pPr>
        <w:pStyle w:val="2"/>
        <w:rPr>
          <w:rFonts w:ascii="仿宋" w:hAnsi="仿宋" w:eastAsia="仿宋" w:cs="仿宋"/>
          <w:b/>
          <w:bCs/>
          <w:color w:val="FF0000"/>
          <w:lang w:val="zh-TW" w:eastAsia="zh-TW"/>
        </w:rPr>
      </w:pPr>
      <w:r>
        <w:rPr>
          <w:rFonts w:hint="eastAsia" w:ascii="仿宋" w:hAnsi="仿宋" w:eastAsia="仿宋" w:cs="仿宋"/>
          <w:b/>
          <w:bCs/>
          <w:color w:val="FF0000"/>
          <w:lang w:val="zh-TW"/>
        </w:rPr>
        <w:t>1</w:t>
      </w:r>
      <w:r>
        <w:rPr>
          <w:rFonts w:hint="eastAsia" w:ascii="仿宋" w:hAnsi="仿宋" w:eastAsia="仿宋" w:cs="仿宋"/>
          <w:b/>
          <w:bCs/>
          <w:color w:val="FF0000"/>
          <w:lang w:val="zh-TW" w:eastAsia="zh-TW"/>
        </w:rPr>
        <w:t>.所有报价均用人民币表示。运输、安装、调试、检验、培训、调换、税金和保险等费用以及采购文件规定的其他费用均应包含在报价中。</w:t>
      </w:r>
    </w:p>
    <w:p>
      <w:pPr>
        <w:pStyle w:val="2"/>
        <w:rPr>
          <w:rFonts w:ascii="仿宋" w:hAnsi="仿宋" w:eastAsia="仿宋" w:cs="仿宋"/>
          <w:b/>
          <w:bCs/>
        </w:rPr>
      </w:pPr>
      <w:r>
        <w:rPr>
          <w:rFonts w:hint="eastAsia" w:ascii="仿宋" w:hAnsi="仿宋" w:eastAsia="仿宋" w:cs="仿宋"/>
          <w:b/>
          <w:bCs/>
        </w:rPr>
        <w:t>2.报价一览表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5970"/>
        <w:gridCol w:w="187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5970" w:type="dxa"/>
            <w:noWrap/>
            <w:vAlign w:val="center"/>
          </w:tcPr>
          <w:p>
            <w:pPr>
              <w:pStyle w:val="2"/>
              <w:spacing w:after="0"/>
              <w:jc w:val="center"/>
              <w:rPr>
                <w:rFonts w:ascii="仿宋" w:hAnsi="仿宋" w:eastAsia="仿宋" w:cs="仿宋"/>
                <w:sz w:val="24"/>
                <w:szCs w:val="24"/>
              </w:rPr>
            </w:pPr>
            <w:r>
              <w:rPr>
                <w:rFonts w:hint="eastAsia" w:ascii="仿宋" w:hAnsi="仿宋" w:eastAsia="仿宋" w:cs="仿宋"/>
                <w:kern w:val="0"/>
                <w:sz w:val="24"/>
                <w:szCs w:val="24"/>
              </w:rPr>
              <w:t>服务内容</w:t>
            </w:r>
          </w:p>
        </w:tc>
        <w:tc>
          <w:tcPr>
            <w:tcW w:w="1875"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c>
          <w:tcPr>
            <w:tcW w:w="1569"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1</w:t>
            </w:r>
          </w:p>
        </w:tc>
        <w:tc>
          <w:tcPr>
            <w:tcW w:w="5970" w:type="dxa"/>
            <w:noWrap/>
            <w:vAlign w:val="center"/>
          </w:tcPr>
          <w:p>
            <w:pPr>
              <w:pStyle w:val="2"/>
              <w:spacing w:after="0"/>
              <w:jc w:val="center"/>
              <w:rPr>
                <w:rFonts w:ascii="仿宋" w:hAnsi="仿宋" w:eastAsia="仿宋" w:cs="仿宋"/>
                <w:sz w:val="24"/>
                <w:szCs w:val="24"/>
              </w:rPr>
            </w:pPr>
          </w:p>
        </w:tc>
        <w:tc>
          <w:tcPr>
            <w:tcW w:w="1875" w:type="dxa"/>
            <w:noWrap/>
            <w:vAlign w:val="center"/>
          </w:tcPr>
          <w:p>
            <w:pPr>
              <w:pStyle w:val="2"/>
              <w:spacing w:after="0"/>
              <w:jc w:val="center"/>
              <w:rPr>
                <w:rFonts w:ascii="仿宋" w:hAnsi="仿宋" w:eastAsia="仿宋" w:cs="仿宋"/>
                <w:sz w:val="24"/>
                <w:szCs w:val="24"/>
              </w:rPr>
            </w:pPr>
          </w:p>
        </w:tc>
        <w:tc>
          <w:tcPr>
            <w:tcW w:w="1569" w:type="dxa"/>
            <w:noWrap/>
            <w:vAlign w:val="center"/>
          </w:tcPr>
          <w:p>
            <w:pPr>
              <w:pStyle w:val="2"/>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w:t>
            </w:r>
          </w:p>
        </w:tc>
        <w:tc>
          <w:tcPr>
            <w:tcW w:w="5970" w:type="dxa"/>
            <w:noWrap/>
            <w:vAlign w:val="center"/>
          </w:tcPr>
          <w:p>
            <w:pPr>
              <w:pStyle w:val="2"/>
              <w:spacing w:after="0"/>
              <w:jc w:val="center"/>
              <w:rPr>
                <w:rFonts w:ascii="仿宋" w:hAnsi="仿宋" w:eastAsia="仿宋" w:cs="仿宋"/>
                <w:sz w:val="24"/>
                <w:szCs w:val="24"/>
              </w:rPr>
            </w:pPr>
          </w:p>
        </w:tc>
        <w:tc>
          <w:tcPr>
            <w:tcW w:w="1875" w:type="dxa"/>
            <w:noWrap/>
            <w:vAlign w:val="center"/>
          </w:tcPr>
          <w:p>
            <w:pPr>
              <w:pStyle w:val="2"/>
              <w:spacing w:after="0"/>
              <w:jc w:val="center"/>
              <w:rPr>
                <w:rFonts w:ascii="仿宋" w:hAnsi="仿宋" w:eastAsia="仿宋" w:cs="仿宋"/>
                <w:sz w:val="24"/>
                <w:szCs w:val="24"/>
              </w:rPr>
            </w:pPr>
          </w:p>
        </w:tc>
        <w:tc>
          <w:tcPr>
            <w:tcW w:w="1569" w:type="dxa"/>
            <w:noWrap/>
            <w:vAlign w:val="center"/>
          </w:tcPr>
          <w:p>
            <w:pPr>
              <w:pStyle w:val="2"/>
              <w:spacing w:after="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77" w:type="dxa"/>
            <w:noWrap/>
            <w:vAlign w:val="center"/>
          </w:tcPr>
          <w:p>
            <w:pPr>
              <w:pStyle w:val="2"/>
              <w:spacing w:after="0"/>
              <w:jc w:val="center"/>
              <w:rPr>
                <w:rFonts w:ascii="仿宋" w:hAnsi="仿宋" w:eastAsia="仿宋" w:cs="仿宋"/>
                <w:sz w:val="24"/>
                <w:szCs w:val="24"/>
              </w:rPr>
            </w:pPr>
            <w:r>
              <w:rPr>
                <w:rFonts w:hint="eastAsia" w:ascii="仿宋" w:hAnsi="仿宋" w:eastAsia="仿宋" w:cs="仿宋"/>
                <w:sz w:val="24"/>
                <w:szCs w:val="24"/>
              </w:rPr>
              <w:t>报价合计</w:t>
            </w:r>
          </w:p>
        </w:tc>
        <w:tc>
          <w:tcPr>
            <w:tcW w:w="9414" w:type="dxa"/>
            <w:gridSpan w:val="3"/>
            <w:noWrap/>
            <w:vAlign w:val="center"/>
          </w:tcPr>
          <w:p>
            <w:pPr>
              <w:pStyle w:val="2"/>
              <w:spacing w:after="0"/>
              <w:jc w:val="left"/>
              <w:rPr>
                <w:rFonts w:ascii="仿宋" w:hAnsi="仿宋" w:eastAsia="仿宋" w:cs="仿宋"/>
                <w:sz w:val="24"/>
                <w:szCs w:val="24"/>
              </w:rPr>
            </w:pPr>
            <w:r>
              <w:rPr>
                <w:rFonts w:hint="eastAsia" w:ascii="仿宋" w:hAnsi="仿宋" w:eastAsia="仿宋" w:cs="仿宋"/>
                <w:sz w:val="24"/>
                <w:szCs w:val="24"/>
              </w:rPr>
              <w:t>大写：       小写：</w:t>
            </w:r>
          </w:p>
        </w:tc>
      </w:tr>
    </w:tbl>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参选供应商名称：                             （供应商公章）</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pPr>
        <w:jc w:val="left"/>
        <w:rPr>
          <w:rFonts w:ascii="仿宋" w:hAnsi="仿宋" w:eastAsia="仿宋" w:cs="仿宋"/>
        </w:rPr>
        <w:sectPr>
          <w:headerReference r:id="rId7" w:type="default"/>
          <w:pgSz w:w="11900" w:h="16840"/>
          <w:pgMar w:top="851" w:right="567" w:bottom="1134" w:left="567" w:header="0" w:footer="567" w:gutter="0"/>
          <w:cols w:space="720" w:num="1"/>
        </w:sectPr>
      </w:pPr>
      <w:r>
        <w:rPr>
          <w:rFonts w:hint="eastAsia" w:ascii="仿宋" w:hAnsi="仿宋" w:eastAsia="仿宋" w:cs="仿宋"/>
          <w:sz w:val="24"/>
          <w:szCs w:val="24"/>
          <w:lang w:val="zh-TW" w:eastAsia="zh-TW"/>
        </w:rPr>
        <w:t>年月日</w:t>
      </w:r>
    </w:p>
    <w:p>
      <w:pPr>
        <w:numPr>
          <w:ilvl w:val="0"/>
          <w:numId w:val="8"/>
        </w:numPr>
        <w:spacing w:line="700" w:lineRule="exact"/>
        <w:jc w:val="center"/>
        <w:outlineLvl w:val="1"/>
        <w:rPr>
          <w:rStyle w:val="29"/>
          <w:rFonts w:ascii="仿宋" w:hAnsi="仿宋" w:eastAsia="仿宋" w:cs="仿宋"/>
          <w:b/>
          <w:bCs/>
          <w:sz w:val="32"/>
          <w:szCs w:val="28"/>
        </w:rPr>
      </w:pPr>
      <w:bookmarkStart w:id="90" w:name="_Toc14685"/>
      <w:bookmarkStart w:id="91" w:name="_Toc29032"/>
      <w:bookmarkStart w:id="92" w:name="_Toc30002"/>
      <w:r>
        <w:rPr>
          <w:rStyle w:val="29"/>
          <w:rFonts w:hint="eastAsia" w:ascii="仿宋" w:hAnsi="仿宋" w:eastAsia="仿宋" w:cs="仿宋"/>
          <w:b/>
          <w:bCs/>
          <w:sz w:val="32"/>
          <w:szCs w:val="28"/>
        </w:rPr>
        <w:t>供应商认为需要提供的其他材料</w:t>
      </w:r>
      <w:bookmarkEnd w:id="86"/>
      <w:bookmarkEnd w:id="87"/>
      <w:bookmarkEnd w:id="88"/>
      <w:bookmarkEnd w:id="90"/>
      <w:bookmarkEnd w:id="91"/>
      <w:bookmarkEnd w:id="92"/>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b/>
          <w:bCs/>
          <w:sz w:val="32"/>
          <w:szCs w:val="36"/>
        </w:rPr>
      </w:pPr>
      <w:r>
        <w:rPr>
          <w:rFonts w:hint="eastAsia" w:ascii="仿宋" w:hAnsi="仿宋" w:eastAsia="仿宋" w:cs="仿宋"/>
          <w:b/>
          <w:bCs/>
          <w:sz w:val="32"/>
          <w:szCs w:val="36"/>
        </w:rPr>
        <w:t>格式自拟</w:t>
      </w:r>
    </w:p>
    <w:p>
      <w:pPr>
        <w:pStyle w:val="2"/>
        <w:jc w:val="center"/>
        <w:outlineLvl w:val="0"/>
        <w:rPr>
          <w:rFonts w:ascii="仿宋" w:hAnsi="仿宋" w:eastAsia="仿宋" w:cs="仿宋"/>
          <w:kern w:val="0"/>
          <w:sz w:val="32"/>
          <w:szCs w:val="32"/>
        </w:rPr>
      </w:pPr>
      <w:r>
        <w:rPr>
          <w:rStyle w:val="30"/>
          <w:rFonts w:hint="eastAsia" w:ascii="仿宋" w:hAnsi="仿宋" w:eastAsia="仿宋" w:cs="仿宋"/>
          <w:b/>
          <w:bCs/>
          <w:sz w:val="32"/>
          <w:szCs w:val="32"/>
        </w:rPr>
        <w:br w:type="page"/>
      </w:r>
      <w:bookmarkStart w:id="93" w:name="_Toc7942"/>
      <w:bookmarkStart w:id="94" w:name="_Toc20691"/>
      <w:bookmarkStart w:id="95" w:name="_Toc5447"/>
      <w:r>
        <w:rPr>
          <w:rFonts w:hint="eastAsia" w:ascii="黑体" w:hAnsi="黑体" w:eastAsia="黑体" w:cs="黑体"/>
          <w:b/>
          <w:sz w:val="36"/>
          <w:szCs w:val="32"/>
        </w:rPr>
        <w:t>第七章 合同条款（仅中选后使用）</w:t>
      </w:r>
      <w:bookmarkEnd w:id="93"/>
      <w:bookmarkEnd w:id="94"/>
      <w:bookmarkEnd w:id="95"/>
    </w:p>
    <w:p>
      <w:pPr>
        <w:pStyle w:val="2"/>
        <w:jc w:val="center"/>
        <w:rPr>
          <w:rFonts w:ascii="仿宋" w:hAnsi="仿宋" w:eastAsia="仿宋" w:cs="仿宋"/>
          <w:sz w:val="44"/>
          <w:szCs w:val="44"/>
        </w:rPr>
      </w:pPr>
      <w:r>
        <w:rPr>
          <w:rFonts w:hint="eastAsia" w:ascii="仿宋" w:hAnsi="仿宋" w:eastAsia="仿宋" w:cs="仿宋"/>
          <w:b/>
        </w:rPr>
        <w:t>（仅供参考，特别提醒：采购合同的签订不得偏离采购文件要约及响应文件承诺的实质性内容</w:t>
      </w:r>
      <w:r>
        <w:rPr>
          <w:rFonts w:hint="eastAsia" w:ascii="仿宋" w:hAnsi="仿宋" w:eastAsia="仿宋" w:cs="仿宋"/>
          <w:b/>
          <w:bCs/>
        </w:rPr>
        <w:t>）</w:t>
      </w:r>
    </w:p>
    <w:p>
      <w:pPr>
        <w:pStyle w:val="12"/>
        <w:spacing w:line="360" w:lineRule="auto"/>
        <w:jc w:val="left"/>
        <w:rPr>
          <w:rFonts w:ascii="仿宋" w:hAnsi="仿宋" w:eastAsia="仿宋" w:cs="仿宋"/>
          <w:sz w:val="16"/>
          <w:szCs w:val="20"/>
        </w:rPr>
      </w:pPr>
      <w:r>
        <w:rPr>
          <w:rFonts w:hint="eastAsia" w:ascii="仿宋" w:hAnsi="仿宋" w:eastAsia="仿宋" w:cs="仿宋"/>
          <w:sz w:val="22"/>
        </w:rPr>
        <w:t>合同编号：CGZX2021XXXX·</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合同编号：</w:t>
      </w:r>
    </w:p>
    <w:p>
      <w:pPr>
        <w:spacing w:line="360" w:lineRule="auto"/>
        <w:ind w:right="210" w:rightChars="100" w:firstLine="480" w:firstLineChars="200"/>
        <w:rPr>
          <w:rFonts w:ascii="仿宋" w:hAnsi="仿宋" w:eastAsia="仿宋" w:cs="仿宋"/>
          <w:sz w:val="24"/>
          <w:szCs w:val="24"/>
        </w:rPr>
      </w:pPr>
      <w:r>
        <w:rPr>
          <w:rFonts w:hint="eastAsia" w:ascii="仿宋" w:hAnsi="仿宋" w:eastAsia="仿宋" w:cs="仿宋"/>
          <w:sz w:val="24"/>
          <w:szCs w:val="24"/>
        </w:rPr>
        <w:t>签订地点：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签订时间：   年   月  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采购人（甲方）：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供应商（乙方）：</w:t>
      </w:r>
    </w:p>
    <w:p>
      <w:pPr>
        <w:adjustRightInd w:val="0"/>
        <w:snapToGrid w:val="0"/>
        <w:spacing w:line="360" w:lineRule="auto"/>
        <w:ind w:right="480" w:firstLine="480" w:firstLineChars="200"/>
        <w:rPr>
          <w:rFonts w:ascii="仿宋" w:hAnsi="仿宋" w:eastAsia="仿宋" w:cs="仿宋"/>
          <w:sz w:val="24"/>
          <w:szCs w:val="24"/>
        </w:rPr>
      </w:pPr>
      <w:r>
        <w:rPr>
          <w:rFonts w:hint="eastAsia" w:ascii="仿宋" w:hAnsi="仿宋" w:eastAsia="仿宋" w:cs="仿宋"/>
          <w:sz w:val="24"/>
          <w:szCs w:val="24"/>
        </w:rPr>
        <w:t>根据《中华人民共和国民法典》等法律法规及四川省人民医院</w:t>
      </w:r>
      <w:permStart w:id="0" w:edGrp="everyone"/>
      <w:r>
        <w:rPr>
          <w:rFonts w:hint="eastAsia" w:ascii="仿宋" w:hAnsi="仿宋" w:eastAsia="仿宋" w:cs="仿宋"/>
          <w:b/>
          <w:bCs/>
          <w:sz w:val="24"/>
          <w:szCs w:val="24"/>
          <w:u w:val="single"/>
        </w:rPr>
        <w:t xml:space="preserve">          项目</w:t>
      </w:r>
      <w:permEnd w:id="0"/>
      <w:r>
        <w:rPr>
          <w:rFonts w:hint="eastAsia" w:ascii="仿宋" w:hAnsi="仿宋" w:eastAsia="仿宋" w:cs="仿宋"/>
          <w:sz w:val="24"/>
          <w:szCs w:val="24"/>
        </w:rPr>
        <w:t>的相关采购文件，甲方向乙方提供如下服务。详细技术说明及其他有关合同项目的特定信息由合同附件予以说明，合同附件及本项目的相关采购文件均为本合同不可分割的部分,与本合同具有同等法律效力。双方同意就采购事项签订如下条款以兹共同遵守：</w:t>
      </w:r>
      <w:bookmarkStart w:id="96" w:name="_Toc309113764"/>
      <w:bookmarkStart w:id="97" w:name="_Toc307565067"/>
      <w:bookmarkStart w:id="98" w:name="_Toc307501162"/>
      <w:bookmarkStart w:id="99" w:name="_Toc307823123"/>
      <w:bookmarkStart w:id="100" w:name="_Toc309113425"/>
    </w:p>
    <w:bookmarkEnd w:id="96"/>
    <w:bookmarkEnd w:id="97"/>
    <w:bookmarkEnd w:id="98"/>
    <w:bookmarkEnd w:id="99"/>
    <w:bookmarkEnd w:id="100"/>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项目基本情况</w:t>
      </w:r>
    </w:p>
    <w:p>
      <w:pPr>
        <w:numPr>
          <w:ilvl w:val="0"/>
          <w:numId w:val="9"/>
        </w:numPr>
        <w:spacing w:line="360" w:lineRule="auto"/>
        <w:rPr>
          <w:rFonts w:ascii="仿宋" w:hAnsi="仿宋" w:eastAsia="仿宋" w:cs="仿宋"/>
          <w:sz w:val="24"/>
          <w:szCs w:val="24"/>
        </w:rPr>
      </w:pPr>
      <w:r>
        <w:rPr>
          <w:rFonts w:hint="eastAsia" w:ascii="仿宋" w:hAnsi="仿宋" w:eastAsia="仿宋" w:cs="仿宋"/>
          <w:b/>
          <w:sz w:val="24"/>
          <w:szCs w:val="24"/>
        </w:rPr>
        <w:t>合同期限</w:t>
      </w:r>
    </w:p>
    <w:p>
      <w:pPr>
        <w:numPr>
          <w:ilvl w:val="0"/>
          <w:numId w:val="9"/>
        </w:numPr>
        <w:spacing w:line="360" w:lineRule="auto"/>
        <w:rPr>
          <w:rFonts w:ascii="仿宋" w:hAnsi="仿宋" w:eastAsia="仿宋" w:cs="仿宋"/>
          <w:b/>
          <w:sz w:val="24"/>
          <w:szCs w:val="24"/>
        </w:rPr>
      </w:pPr>
      <w:bookmarkStart w:id="101" w:name="_Toc225670751"/>
      <w:bookmarkStart w:id="102" w:name="_Toc282696226"/>
      <w:bookmarkStart w:id="103" w:name="_Toc232492928"/>
      <w:bookmarkStart w:id="104" w:name="_Toc225654644"/>
      <w:bookmarkStart w:id="105" w:name="_Toc211911348"/>
      <w:bookmarkStart w:id="106" w:name="_Toc283019214"/>
      <w:bookmarkStart w:id="107" w:name="_Toc241833903"/>
      <w:bookmarkStart w:id="108" w:name="_Toc185395249"/>
      <w:bookmarkStart w:id="109" w:name="_Toc239233914"/>
      <w:bookmarkStart w:id="110" w:name="_Toc212019594"/>
      <w:bookmarkStart w:id="111" w:name="_Toc247334841"/>
      <w:bookmarkStart w:id="112" w:name="_Toc237145406"/>
      <w:bookmarkStart w:id="113" w:name="_Toc211854449"/>
      <w:bookmarkStart w:id="114" w:name="_Toc239568418"/>
      <w:bookmarkStart w:id="115" w:name="_Toc238984975"/>
      <w:bookmarkStart w:id="116" w:name="_Toc286993786"/>
      <w:bookmarkStart w:id="117" w:name="_Toc225244852"/>
      <w:bookmarkStart w:id="118" w:name="_Toc251768862"/>
      <w:r>
        <w:rPr>
          <w:rFonts w:hint="eastAsia" w:ascii="仿宋" w:hAnsi="仿宋" w:eastAsia="仿宋" w:cs="仿宋"/>
          <w:b/>
          <w:sz w:val="24"/>
          <w:szCs w:val="24"/>
        </w:rPr>
        <w:t>服务内容与质量标准</w:t>
      </w:r>
    </w:p>
    <w:p>
      <w:pPr>
        <w:spacing w:line="360" w:lineRule="auto"/>
        <w:ind w:left="567"/>
        <w:rPr>
          <w:rFonts w:ascii="仿宋" w:hAnsi="仿宋" w:eastAsia="仿宋" w:cs="仿宋"/>
          <w:sz w:val="24"/>
          <w:szCs w:val="24"/>
        </w:rPr>
      </w:pPr>
      <w:r>
        <w:rPr>
          <w:rFonts w:hint="eastAsia" w:ascii="仿宋" w:hAnsi="仿宋" w:eastAsia="仿宋" w:cs="仿宋"/>
          <w:sz w:val="24"/>
          <w:szCs w:val="24"/>
        </w:rPr>
        <w:t>1、XXXX；</w:t>
      </w:r>
    </w:p>
    <w:p>
      <w:pPr>
        <w:spacing w:line="360" w:lineRule="auto"/>
        <w:ind w:left="567"/>
        <w:rPr>
          <w:rFonts w:ascii="仿宋" w:hAnsi="仿宋" w:eastAsia="仿宋" w:cs="仿宋"/>
          <w:sz w:val="24"/>
          <w:szCs w:val="24"/>
        </w:rPr>
      </w:pPr>
      <w:r>
        <w:rPr>
          <w:rFonts w:hint="eastAsia" w:ascii="仿宋" w:hAnsi="仿宋" w:eastAsia="仿宋" w:cs="仿宋"/>
          <w:sz w:val="24"/>
          <w:szCs w:val="24"/>
        </w:rPr>
        <w:t>2、XXXX；</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服务费用及支付方式</w:t>
      </w:r>
    </w:p>
    <w:p>
      <w:pPr>
        <w:numPr>
          <w:ilvl w:val="0"/>
          <w:numId w:val="10"/>
        </w:numPr>
        <w:spacing w:line="360" w:lineRule="auto"/>
        <w:ind w:firstLine="567"/>
        <w:rPr>
          <w:rFonts w:ascii="仿宋" w:hAnsi="仿宋" w:eastAsia="仿宋" w:cs="仿宋"/>
          <w:b/>
          <w:sz w:val="24"/>
          <w:szCs w:val="24"/>
        </w:rPr>
      </w:pPr>
      <w:r>
        <w:rPr>
          <w:rFonts w:hint="eastAsia" w:ascii="仿宋" w:hAnsi="仿宋" w:eastAsia="仿宋" w:cs="仿宋"/>
          <w:b/>
          <w:sz w:val="24"/>
          <w:szCs w:val="24"/>
        </w:rPr>
        <w:t>本项目服务费用由以下组成：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pPr>
        <w:numPr>
          <w:ilvl w:val="0"/>
          <w:numId w:val="10"/>
        </w:numPr>
        <w:tabs>
          <w:tab w:val="left" w:pos="780"/>
        </w:tabs>
        <w:spacing w:line="360" w:lineRule="auto"/>
        <w:ind w:firstLine="567"/>
        <w:rPr>
          <w:rFonts w:ascii="仿宋" w:hAnsi="仿宋" w:eastAsia="仿宋" w:cs="仿宋"/>
          <w:b/>
          <w:sz w:val="24"/>
          <w:szCs w:val="24"/>
        </w:rPr>
      </w:pPr>
      <w:r>
        <w:rPr>
          <w:rFonts w:hint="eastAsia" w:ascii="仿宋" w:hAnsi="仿宋" w:eastAsia="仿宋" w:cs="仿宋"/>
          <w:b/>
          <w:sz w:val="24"/>
          <w:szCs w:val="24"/>
        </w:rPr>
        <w:t xml:space="preserve">服务费支付方式：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知识产权</w:t>
      </w:r>
    </w:p>
    <w:p>
      <w:pPr>
        <w:tabs>
          <w:tab w:val="left" w:pos="14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乙方应保证所提供的服务或其任何一部分均不会侵犯任何第三方的专利权、商标权或著作权。</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无产权瑕疵条款</w:t>
      </w:r>
    </w:p>
    <w:p>
      <w:pPr>
        <w:tabs>
          <w:tab w:val="left" w:pos="144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乙方保证所提供的服务的所有权完全属于乙方且无任何抵押、查封等产权瑕疵。如有产权瑕疵的，视为乙方违约。乙方应负担由此而产生的一切损失。</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甲方的权利和义务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2、甲方有权依据双方签订的考评办法对乙方提供的服务进行定期考评。当考评结果未达到标准时，有权依据相关办法对乙方进行管理。</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3、负责检查监督乙方管理工作的实施及制度的执行情况。</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4、根据本合同规定，按时向乙方支付应付服务费用。</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5、国家法律、法规所规定由甲方承担的其它责任。</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乙方的权利和义务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1、对本合同规定的委托服务范围内的项目享有管理权及服务义务。</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仿宋" w:hAnsi="仿宋" w:eastAsia="仿宋" w:cs="仿宋"/>
          <w:sz w:val="24"/>
          <w:szCs w:val="24"/>
        </w:rPr>
      </w:pPr>
      <w:r>
        <w:rPr>
          <w:rFonts w:hint="eastAsia" w:ascii="仿宋" w:hAnsi="仿宋" w:eastAsia="仿宋" w:cs="仿宋"/>
          <w:sz w:val="24"/>
          <w:szCs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sz w:val="24"/>
          <w:szCs w:val="24"/>
        </w:rPr>
        <w:t>4、</w:t>
      </w:r>
      <w:r>
        <w:rPr>
          <w:rFonts w:hint="eastAsia" w:ascii="仿宋" w:hAnsi="仿宋" w:eastAsia="仿宋" w:cs="仿宋"/>
          <w:bCs/>
          <w:sz w:val="24"/>
          <w:szCs w:val="24"/>
        </w:rPr>
        <w:t>接受项目行业管理部门及有关部门的指导，接受甲方的监督。</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5、国家法律、法规所规定由乙方承担的其它责任。</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违约责任</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仿宋" w:hAnsi="仿宋" w:eastAsia="仿宋" w:cs="仿宋"/>
          <w:bCs/>
          <w:sz w:val="24"/>
          <w:szCs w:val="24"/>
        </w:rPr>
      </w:pPr>
      <w:r>
        <w:rPr>
          <w:rFonts w:hint="eastAsia" w:ascii="仿宋" w:hAnsi="仿宋" w:eastAsia="仿宋" w:cs="仿宋"/>
          <w:bCs/>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不可抗力事件处理</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2、不可抗力事件发生后，应立即通知对方，并寄送有关权威机构出具的证明。</w:t>
      </w:r>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3、不可抗力事件延续XX天以上，双方应通过友好协商，确定是否继续履行合同。</w:t>
      </w: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Pr>
        <w:numPr>
          <w:ilvl w:val="0"/>
          <w:numId w:val="9"/>
        </w:numPr>
        <w:spacing w:line="360" w:lineRule="auto"/>
        <w:rPr>
          <w:rFonts w:ascii="仿宋" w:hAnsi="仿宋" w:eastAsia="仿宋" w:cs="仿宋"/>
          <w:b/>
          <w:sz w:val="24"/>
          <w:szCs w:val="24"/>
        </w:rPr>
      </w:pPr>
      <w:bookmarkStart w:id="119" w:name="_Toc225244857"/>
      <w:bookmarkStart w:id="120" w:name="_Toc225670756"/>
      <w:bookmarkStart w:id="121" w:name="_Toc251768867"/>
      <w:bookmarkStart w:id="122" w:name="_Toc237145411"/>
      <w:bookmarkStart w:id="123" w:name="_Toc239568423"/>
      <w:bookmarkStart w:id="124" w:name="_Toc185395254"/>
      <w:bookmarkStart w:id="125" w:name="_Toc225654649"/>
      <w:bookmarkStart w:id="126" w:name="_Toc238984980"/>
      <w:bookmarkStart w:id="127" w:name="_Toc241833908"/>
      <w:bookmarkStart w:id="128" w:name="_Toc286993792"/>
      <w:bookmarkStart w:id="129" w:name="_Toc211854454"/>
      <w:bookmarkStart w:id="130" w:name="_Toc212019599"/>
      <w:bookmarkStart w:id="131" w:name="_Toc247334846"/>
      <w:bookmarkStart w:id="132" w:name="_Toc232492933"/>
      <w:bookmarkStart w:id="133" w:name="_Toc239233919"/>
      <w:bookmarkStart w:id="134" w:name="_Toc211911353"/>
      <w:r>
        <w:rPr>
          <w:rFonts w:hint="eastAsia" w:ascii="仿宋" w:hAnsi="仿宋" w:eastAsia="仿宋" w:cs="仿宋"/>
          <w:b/>
          <w:sz w:val="24"/>
          <w:szCs w:val="24"/>
        </w:rPr>
        <w:t>解决合同纠纷的方式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合同履行期间,若双方发生争议，可协商或由有关部门调解解决，协商或调解不成的，任何一方均有权向四川省成都市青羊区人民法院起诉。</w:t>
      </w:r>
    </w:p>
    <w:p>
      <w:pPr>
        <w:numPr>
          <w:ilvl w:val="0"/>
          <w:numId w:val="9"/>
        </w:numPr>
        <w:spacing w:line="360" w:lineRule="auto"/>
        <w:rPr>
          <w:rFonts w:ascii="仿宋" w:hAnsi="仿宋" w:eastAsia="仿宋" w:cs="仿宋"/>
          <w:b/>
          <w:sz w:val="24"/>
          <w:szCs w:val="24"/>
        </w:rPr>
      </w:pPr>
      <w:r>
        <w:rPr>
          <w:rFonts w:hint="eastAsia" w:ascii="仿宋" w:hAnsi="仿宋" w:eastAsia="仿宋" w:cs="仿宋"/>
          <w:b/>
          <w:sz w:val="24"/>
          <w:szCs w:val="24"/>
        </w:rPr>
        <w:t>合同文件构成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1、本采购合同与下列文件一起构成合同文件，组成合同的各项文件应互相解释，互为说明。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合同协议书；（2）中标通知书（如果有）；（3）投标函及投标函附录（如果有）；（4）招标文件（或比选文件）；（5）投标文件（或响应文件）；（6）其他合同文件。在合同订立及履行过程中形成的与合同有关的文件均构成合同组成部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w:t>
      </w:r>
    </w:p>
    <w:p>
      <w:pPr>
        <w:numPr>
          <w:ilvl w:val="0"/>
          <w:numId w:val="9"/>
        </w:numPr>
        <w:spacing w:line="360" w:lineRule="auto"/>
        <w:rPr>
          <w:rFonts w:ascii="仿宋" w:hAnsi="仿宋" w:eastAsia="仿宋" w:cs="仿宋"/>
          <w:b/>
          <w:sz w:val="24"/>
          <w:szCs w:val="24"/>
        </w:rPr>
      </w:pPr>
      <w:bookmarkStart w:id="135" w:name="_Toc239568424"/>
      <w:bookmarkStart w:id="136" w:name="_Toc247334847"/>
      <w:bookmarkStart w:id="137" w:name="_Toc251768868"/>
      <w:bookmarkStart w:id="138" w:name="_Toc225670757"/>
      <w:bookmarkStart w:id="139" w:name="_Toc211854455"/>
      <w:bookmarkStart w:id="140" w:name="_Toc241833909"/>
      <w:bookmarkStart w:id="141" w:name="_Toc282696231"/>
      <w:bookmarkStart w:id="142" w:name="_Toc286993793"/>
      <w:bookmarkStart w:id="143" w:name="_Toc225654650"/>
      <w:bookmarkStart w:id="144" w:name="_Toc238984981"/>
      <w:bookmarkStart w:id="145" w:name="_Toc232492934"/>
      <w:bookmarkStart w:id="146" w:name="_Toc237145412"/>
      <w:bookmarkStart w:id="147" w:name="_Toc283019219"/>
      <w:bookmarkStart w:id="148" w:name="_Toc239233920"/>
      <w:bookmarkStart w:id="149" w:name="_Toc185395255"/>
      <w:bookmarkStart w:id="150" w:name="_Toc225244858"/>
      <w:bookmarkStart w:id="151" w:name="_Toc211911354"/>
      <w:bookmarkStart w:id="152" w:name="_Toc212019600"/>
      <w:r>
        <w:rPr>
          <w:rFonts w:hint="eastAsia" w:ascii="仿宋" w:hAnsi="仿宋" w:eastAsia="仿宋" w:cs="仿宋"/>
          <w:b/>
          <w:sz w:val="24"/>
          <w:szCs w:val="24"/>
        </w:rPr>
        <w:t>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Fonts w:hint="eastAsia" w:ascii="仿宋" w:hAnsi="仿宋" w:eastAsia="仿宋" w:cs="仿宋"/>
          <w:b/>
          <w:sz w:val="24"/>
          <w:szCs w:val="24"/>
        </w:rPr>
        <w:t>生效及其他</w:t>
      </w:r>
    </w:p>
    <w:p>
      <w:pPr>
        <w:pStyle w:val="39"/>
        <w:spacing w:line="360" w:lineRule="auto"/>
        <w:ind w:firstLine="480"/>
        <w:rPr>
          <w:rFonts w:ascii="仿宋" w:hAnsi="仿宋" w:eastAsia="仿宋"/>
          <w:sz w:val="24"/>
          <w:szCs w:val="24"/>
        </w:rPr>
      </w:pPr>
      <w:r>
        <w:rPr>
          <w:rFonts w:hint="eastAsia" w:ascii="仿宋" w:hAnsi="仿宋" w:eastAsia="仿宋"/>
          <w:sz w:val="24"/>
          <w:szCs w:val="24"/>
        </w:rPr>
        <w:t>1、如有未尽事宜，由双方依法订立补充合同。补充合同、附件为本合同的组成部分，与本合同具有同等法律效力。</w:t>
      </w:r>
    </w:p>
    <w:p>
      <w:pPr>
        <w:pStyle w:val="39"/>
        <w:spacing w:line="360" w:lineRule="auto"/>
        <w:ind w:firstLine="480"/>
        <w:rPr>
          <w:rFonts w:ascii="仿宋" w:hAnsi="仿宋" w:eastAsia="仿宋" w:cs="仿宋"/>
          <w:sz w:val="24"/>
          <w:szCs w:val="24"/>
        </w:rPr>
      </w:pPr>
      <w:r>
        <w:rPr>
          <w:rFonts w:hint="eastAsia" w:ascii="仿宋" w:hAnsi="仿宋" w:eastAsia="仿宋"/>
          <w:sz w:val="24"/>
          <w:szCs w:val="24"/>
        </w:rPr>
        <w:t>2、本合同一式   份，自双方签章之日起生效。甲方肆份，乙方  份。</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法定代表人(授权代表)：             法定代表人(授权代表)：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地    址：                         地    址：</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开户银行：                         开户银行：</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账号：                             账号：</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电    话：                         电    话：</w:t>
      </w:r>
    </w:p>
    <w:p>
      <w:pPr>
        <w:pStyle w:val="5"/>
        <w:spacing w:line="500" w:lineRule="exact"/>
        <w:ind w:firstLineChars="175"/>
        <w:rPr>
          <w:rFonts w:ascii="仿宋" w:hAnsi="仿宋" w:eastAsia="仿宋" w:cs="仿宋"/>
          <w:b/>
          <w:bCs/>
          <w:szCs w:val="24"/>
        </w:rPr>
      </w:pPr>
      <w:r>
        <w:rPr>
          <w:rFonts w:hint="eastAsia" w:ascii="仿宋" w:hAnsi="仿宋" w:eastAsia="仿宋" w:cs="仿宋"/>
          <w:szCs w:val="24"/>
        </w:rPr>
        <w:t xml:space="preserve">签约日期：XX年XX月XX日 </w:t>
      </w:r>
      <w:r>
        <w:rPr>
          <w:rFonts w:hint="eastAsia" w:ascii="仿宋" w:hAnsi="仿宋" w:eastAsia="仿宋" w:cs="仿宋"/>
          <w:szCs w:val="24"/>
        </w:rPr>
        <w:tab/>
      </w:r>
      <w:r>
        <w:rPr>
          <w:rFonts w:hint="eastAsia" w:ascii="仿宋" w:hAnsi="仿宋" w:eastAsia="仿宋" w:cs="仿宋"/>
          <w:szCs w:val="24"/>
        </w:rPr>
        <w:tab/>
      </w:r>
      <w:r>
        <w:rPr>
          <w:rFonts w:hint="eastAsia" w:ascii="仿宋" w:hAnsi="仿宋" w:eastAsia="仿宋" w:cs="仿宋"/>
          <w:szCs w:val="24"/>
        </w:rPr>
        <w:tab/>
      </w:r>
      <w:r>
        <w:rPr>
          <w:rFonts w:hint="eastAsia" w:ascii="仿宋" w:hAnsi="仿宋" w:eastAsia="仿宋" w:cs="仿宋"/>
          <w:szCs w:val="24"/>
        </w:rPr>
        <w:t>签约日期：XX年XX月XX日</w:t>
      </w:r>
    </w:p>
    <w:p>
      <w:pPr>
        <w:spacing w:line="500" w:lineRule="exact"/>
        <w:rPr>
          <w:rFonts w:ascii="仿宋" w:hAnsi="仿宋" w:eastAsia="仿宋" w:cs="仿宋"/>
          <w:b/>
          <w:sz w:val="24"/>
          <w:szCs w:val="24"/>
        </w:rPr>
      </w:pPr>
      <w:r>
        <w:rPr>
          <w:rFonts w:hint="eastAsia" w:ascii="仿宋" w:hAnsi="仿宋" w:eastAsia="仿宋" w:cs="仿宋"/>
          <w:b/>
          <w:bCs/>
          <w:sz w:val="24"/>
          <w:szCs w:val="24"/>
        </w:rPr>
        <w:t>注：以上合同条款采购人与成交人签订合同时可根据实际情况进行调整、修改或重新起草合同条款。</w:t>
      </w:r>
    </w:p>
    <w:p>
      <w:pPr>
        <w:spacing w:line="360" w:lineRule="auto"/>
        <w:rPr>
          <w:rStyle w:val="30"/>
          <w:rFonts w:ascii="仿宋" w:hAnsi="仿宋" w:eastAsia="仿宋" w:cs="仿宋"/>
        </w:rPr>
      </w:pPr>
    </w:p>
    <w:p>
      <w:pPr>
        <w:spacing w:line="360" w:lineRule="auto"/>
        <w:rPr>
          <w:rStyle w:val="33"/>
        </w:rPr>
      </w:pPr>
    </w:p>
    <w:p>
      <w:pPr>
        <w:spacing w:line="360" w:lineRule="auto"/>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b/>
          <w:bCs/>
          <w:sz w:val="44"/>
          <w:szCs w:val="52"/>
        </w:rPr>
      </w:pPr>
      <w:r>
        <w:rPr>
          <w:rFonts w:hint="eastAsia"/>
          <w:b/>
          <w:bCs/>
          <w:sz w:val="44"/>
          <w:szCs w:val="52"/>
        </w:rPr>
        <w:t>廉洁购销协议</w:t>
      </w:r>
    </w:p>
    <w:p>
      <w:pPr>
        <w:rPr>
          <w:rFonts w:ascii="仿宋" w:hAnsi="仿宋" w:eastAsia="仿宋"/>
          <w:sz w:val="28"/>
          <w:szCs w:val="28"/>
        </w:rPr>
      </w:pPr>
      <w:r>
        <w:rPr>
          <w:rFonts w:hint="eastAsia" w:ascii="仿宋" w:hAnsi="仿宋" w:eastAsia="仿宋"/>
          <w:sz w:val="28"/>
          <w:szCs w:val="28"/>
        </w:rPr>
        <w:t>甲方：四川省人民医院</w:t>
      </w:r>
    </w:p>
    <w:p>
      <w:pPr>
        <w:rPr>
          <w:rFonts w:ascii="仿宋" w:hAnsi="仿宋" w:eastAsia="仿宋"/>
          <w:sz w:val="28"/>
          <w:szCs w:val="28"/>
        </w:rPr>
      </w:pPr>
      <w:r>
        <w:rPr>
          <w:rFonts w:hint="eastAsia" w:ascii="仿宋" w:hAnsi="仿宋" w:eastAsia="仿宋"/>
          <w:sz w:val="28"/>
          <w:szCs w:val="28"/>
        </w:rPr>
        <w:t>乙方：</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为进一步加强廉政建设,预防医药购销领域不正之风,我院与供应商签订如下协议,共同遵守:</w:t>
      </w:r>
    </w:p>
    <w:p>
      <w:pPr>
        <w:ind w:firstLine="560" w:firstLineChars="200"/>
        <w:rPr>
          <w:rFonts w:ascii="仿宋" w:hAnsi="仿宋" w:eastAsia="仿宋"/>
          <w:sz w:val="28"/>
          <w:szCs w:val="28"/>
        </w:rPr>
      </w:pPr>
      <w:r>
        <w:rPr>
          <w:rFonts w:hint="eastAsia" w:ascii="仿宋" w:hAnsi="仿宋" w:eastAsia="仿宋"/>
          <w:sz w:val="28"/>
          <w:szCs w:val="28"/>
        </w:rPr>
        <w:t>一、甲方工作人员不得利用职务和招投标等工作之便,暗示、索要和收受供应商任何形式的财物、提成、回扣等一切不正当利益。</w:t>
      </w:r>
    </w:p>
    <w:p>
      <w:pPr>
        <w:ind w:firstLine="560" w:firstLineChars="200"/>
        <w:rPr>
          <w:rFonts w:ascii="仿宋" w:hAnsi="仿宋" w:eastAsia="仿宋"/>
          <w:sz w:val="28"/>
          <w:szCs w:val="28"/>
        </w:rPr>
      </w:pPr>
      <w:r>
        <w:rPr>
          <w:rFonts w:hint="eastAsia" w:ascii="仿宋" w:hAnsi="仿宋" w:eastAsia="仿宋"/>
          <w:sz w:val="28"/>
          <w:szCs w:val="28"/>
        </w:rPr>
        <w:t>二、甲方工作人员严格执行国家及我院的采购管理制度，如有违反,一经查实,按有关规定严肃处理并追究相关人员责任。</w:t>
      </w:r>
    </w:p>
    <w:p>
      <w:pPr>
        <w:ind w:firstLine="560" w:firstLineChars="200"/>
        <w:rPr>
          <w:rFonts w:ascii="仿宋" w:hAnsi="仿宋" w:eastAsia="仿宋"/>
          <w:sz w:val="28"/>
          <w:szCs w:val="28"/>
        </w:rPr>
      </w:pPr>
      <w:r>
        <w:rPr>
          <w:rFonts w:hint="eastAsia" w:ascii="仿宋" w:hAnsi="仿宋" w:eastAsia="仿宋"/>
          <w:sz w:val="28"/>
          <w:szCs w:val="28"/>
        </w:rPr>
        <w:t>三、乙方及其代理人承诺严格按照国家相关法律法规和行业规范向甲方提供学术推广、技术咨询活动，上述活动不与甲方的采购行为挂钩。乙方不得在甲方医疗服务区域内从事任何形式的商业促销、宣传推广活动。</w:t>
      </w:r>
    </w:p>
    <w:p>
      <w:pPr>
        <w:ind w:firstLine="560" w:firstLineChars="200"/>
        <w:rPr>
          <w:rFonts w:ascii="仿宋" w:hAnsi="仿宋" w:eastAsia="仿宋"/>
          <w:sz w:val="28"/>
          <w:szCs w:val="28"/>
        </w:rPr>
      </w:pPr>
      <w:r>
        <w:rPr>
          <w:rFonts w:hint="eastAsia" w:ascii="仿宋" w:hAnsi="仿宋" w:eastAsia="仿宋"/>
          <w:sz w:val="28"/>
          <w:szCs w:val="28"/>
        </w:rPr>
        <w:t>四、乙方及其代理人不得以宣传费、赞助费、科研费、劳务费、咨询费、佣金、学术活动、外出考察等名义，或者以报销各种费用等变相给付财物的形式，获得业务或保持业务。</w:t>
      </w:r>
    </w:p>
    <w:p>
      <w:pPr>
        <w:ind w:firstLine="560" w:firstLineChars="200"/>
        <w:rPr>
          <w:rFonts w:ascii="仿宋" w:hAnsi="仿宋" w:eastAsia="仿宋"/>
          <w:sz w:val="28"/>
          <w:szCs w:val="28"/>
        </w:rPr>
      </w:pPr>
      <w:r>
        <w:rPr>
          <w:rFonts w:hint="eastAsia" w:ascii="仿宋" w:hAnsi="仿宋" w:eastAsia="仿宋"/>
          <w:sz w:val="28"/>
          <w:szCs w:val="28"/>
        </w:rPr>
        <w:t>五、乙方承诺以自身名义与甲方开展合同约定范围的业务合作并依法独立承担法律责任。乙方不得擅自转委托其他服务商或者采取出租出借经营许可证、允许挂靠经营等方式变相转委托其他服务商履行合同中权利、义务。</w:t>
      </w:r>
    </w:p>
    <w:p>
      <w:pPr>
        <w:ind w:firstLine="560" w:firstLineChars="200"/>
        <w:rPr>
          <w:rFonts w:ascii="仿宋" w:hAnsi="仿宋" w:eastAsia="仿宋"/>
          <w:sz w:val="28"/>
          <w:szCs w:val="28"/>
        </w:rPr>
      </w:pPr>
      <w:r>
        <w:rPr>
          <w:rFonts w:hint="eastAsia" w:ascii="仿宋" w:hAnsi="仿宋" w:eastAsia="仿宋"/>
          <w:sz w:val="28"/>
          <w:szCs w:val="28"/>
        </w:rPr>
        <w:t>六、乙方必须承诺向我院供货的同规格型号同质量等级医用物资为全省最低价，办公用品、装修材料、营养科食材、工会福利等为同时期成都市集团采购最低价。</w:t>
      </w:r>
    </w:p>
    <w:p>
      <w:pPr>
        <w:ind w:firstLine="560" w:firstLineChars="200"/>
        <w:rPr>
          <w:rFonts w:ascii="仿宋" w:hAnsi="仿宋" w:eastAsia="仿宋"/>
          <w:sz w:val="28"/>
          <w:szCs w:val="28"/>
        </w:rPr>
      </w:pPr>
      <w:r>
        <w:rPr>
          <w:rFonts w:hint="eastAsia" w:ascii="仿宋" w:hAnsi="仿宋" w:eastAsia="仿宋"/>
          <w:sz w:val="28"/>
          <w:szCs w:val="28"/>
        </w:rPr>
        <w:t>七、乙方违反上述承诺者，甲方单方面终止合作协议，并依法追究乙方的违约责任。</w:t>
      </w:r>
    </w:p>
    <w:p>
      <w:pPr>
        <w:ind w:firstLine="560" w:firstLineChars="200"/>
        <w:rPr>
          <w:rFonts w:ascii="仿宋" w:hAnsi="仿宋" w:eastAsia="仿宋"/>
          <w:sz w:val="28"/>
          <w:szCs w:val="28"/>
        </w:rPr>
      </w:pPr>
      <w:r>
        <w:rPr>
          <w:rFonts w:hint="eastAsia" w:ascii="仿宋" w:hAnsi="仿宋" w:eastAsia="仿宋"/>
          <w:sz w:val="28"/>
          <w:szCs w:val="28"/>
        </w:rPr>
        <w:t>八、本协议一式三份,归口管理部门、供应商、招标采购中心各执一份。</w:t>
      </w:r>
    </w:p>
    <w:p>
      <w:pPr>
        <w:ind w:firstLine="560" w:firstLineChars="200"/>
        <w:rPr>
          <w:rFonts w:ascii="仿宋" w:hAnsi="仿宋" w:eastAsia="仿宋"/>
          <w:sz w:val="28"/>
          <w:szCs w:val="28"/>
        </w:rPr>
      </w:pPr>
      <w:r>
        <w:rPr>
          <w:rFonts w:hint="eastAsia" w:ascii="仿宋" w:hAnsi="仿宋" w:eastAsia="仿宋"/>
          <w:sz w:val="28"/>
          <w:szCs w:val="28"/>
        </w:rPr>
        <w:t>举报受理部门：审计部</w:t>
      </w:r>
    </w:p>
    <w:p>
      <w:pPr>
        <w:ind w:firstLine="560" w:firstLineChars="200"/>
        <w:rPr>
          <w:rFonts w:ascii="仿宋" w:hAnsi="仿宋" w:eastAsia="仿宋"/>
          <w:sz w:val="28"/>
          <w:szCs w:val="28"/>
        </w:rPr>
      </w:pPr>
      <w:r>
        <w:rPr>
          <w:rFonts w:hint="eastAsia" w:ascii="仿宋" w:hAnsi="仿宋" w:eastAsia="仿宋"/>
          <w:sz w:val="28"/>
          <w:szCs w:val="28"/>
        </w:rPr>
        <w:t>举报电话：87393203</w:t>
      </w:r>
    </w:p>
    <w:p>
      <w:pPr>
        <w:ind w:firstLine="560" w:firstLineChars="200"/>
        <w:rPr>
          <w:rFonts w:ascii="仿宋" w:hAnsi="仿宋" w:eastAsia="仿宋"/>
          <w:sz w:val="28"/>
          <w:szCs w:val="28"/>
        </w:rPr>
      </w:pPr>
      <w:r>
        <w:rPr>
          <w:rFonts w:hint="eastAsia" w:ascii="仿宋" w:hAnsi="仿宋" w:eastAsia="仿宋"/>
          <w:sz w:val="28"/>
          <w:szCs w:val="28"/>
        </w:rPr>
        <w:t>举报邮箱：scsyjsc@163.com</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甲方：四川省人民医院(盖章) 乙方：供应单位(盖章)</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甲方代表签字： 乙方代表签字:</w:t>
      </w:r>
    </w:p>
    <w:p>
      <w:pPr>
        <w:ind w:firstLine="4200" w:firstLineChars="1500"/>
        <w:rPr>
          <w:rFonts w:ascii="仿宋" w:hAnsi="仿宋" w:eastAsia="仿宋"/>
          <w:sz w:val="28"/>
          <w:szCs w:val="28"/>
        </w:rPr>
      </w:pPr>
    </w:p>
    <w:p>
      <w:pPr>
        <w:ind w:firstLine="560" w:firstLineChars="200"/>
        <w:jc w:val="right"/>
        <w:rPr>
          <w:rFonts w:ascii="仿宋" w:hAnsi="仿宋" w:eastAsia="仿宋"/>
          <w:sz w:val="28"/>
          <w:szCs w:val="28"/>
        </w:rPr>
      </w:pPr>
      <w:r>
        <w:rPr>
          <w:rFonts w:hint="eastAsia" w:ascii="仿宋" w:hAnsi="仿宋" w:eastAsia="仿宋"/>
          <w:sz w:val="28"/>
          <w:szCs w:val="28"/>
        </w:rPr>
        <w:t>年   月   日</w:t>
      </w:r>
    </w:p>
    <w:p>
      <w:pPr>
        <w:pStyle w:val="23"/>
      </w:pPr>
    </w:p>
    <w:p>
      <w:pPr>
        <w:pStyle w:val="23"/>
      </w:pPr>
    </w:p>
    <w:sectPr>
      <w:headerReference r:id="rId8" w:type="default"/>
      <w:footerReference r:id="rId9"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91DC913-049D-4BF2-901E-47F437DAD30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B010895-4BBE-4D4B-A9A0-ABB5E43D5B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93BF16A7-8895-4D24-AF2D-263AF095076E}"/>
  </w:font>
  <w:font w:name="Arial Unicode MS">
    <w:altName w:val="宋体"/>
    <w:panose1 w:val="020B0604020202020204"/>
    <w:charset w:val="86"/>
    <w:family w:val="swiss"/>
    <w:pitch w:val="default"/>
    <w:sig w:usb0="00000000" w:usb1="00000000" w:usb2="0000003F" w:usb3="00000000" w:csb0="003F01FF" w:csb1="00000000"/>
  </w:font>
  <w:font w:name="Helvetica Neue">
    <w:altName w:val="Times New Roman"/>
    <w:panose1 w:val="00000000000000000000"/>
    <w:charset w:val="00"/>
    <w:family w:val="auto"/>
    <w:pitch w:val="default"/>
    <w:sig w:usb0="00000000" w:usb1="00000000" w:usb2="00000010" w:usb3="00000000" w:csb0="00000001" w:csb1="00000000"/>
  </w:font>
  <w:font w:name="华文仿宋">
    <w:panose1 w:val="02010600040101010101"/>
    <w:charset w:val="86"/>
    <w:family w:val="auto"/>
    <w:pitch w:val="default"/>
    <w:sig w:usb0="00000287" w:usb1="080F0000" w:usb2="00000000" w:usb3="00000000" w:csb0="0004009F" w:csb1="DFD70000"/>
    <w:embedRegular r:id="rId4" w:fontKey="{B5A8EF2B-6CD4-42C9-951A-8ACFFD1CF016}"/>
  </w:font>
  <w:font w:name="等线">
    <w:panose1 w:val="02010600030101010101"/>
    <w:charset w:val="86"/>
    <w:family w:val="auto"/>
    <w:pitch w:val="default"/>
    <w:sig w:usb0="A00002BF" w:usb1="38CF7CFA" w:usb2="00000016" w:usb3="00000000" w:csb0="0004000F" w:csb1="00000000"/>
    <w:embedRegular r:id="rId5" w:fontKey="{CB8FA81C-377E-41C0-848F-7D9DBDCF0E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rPr>
        <w:rFonts w:hint="eastAsia"/>
      </w:rPr>
      <w:t>CGWJ-BX-202201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rPr>
        <w:rFonts w:hint="eastAsia"/>
      </w:rPr>
      <w:t>CGWJ-BX-202201</w:t>
    </w:r>
  </w:p>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p>
  <w:p>
    <w:pPr>
      <w:pStyle w:val="12"/>
      <w:pBdr>
        <w:bottom w:val="none" w:color="auto" w:sz="0" w:space="1"/>
      </w:pBdr>
      <w:jc w:val="right"/>
    </w:pPr>
    <w:r>
      <w:rPr>
        <w:rFonts w:hint="eastAsia"/>
      </w:rPr>
      <w:t>CGWJ-BX-202201</w:t>
    </w:r>
  </w:p>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r>
      <w:rPr>
        <w:rFonts w:hint="eastAsia"/>
      </w:rPr>
      <w:t>CGWJ-BX-202201</w:t>
    </w: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A83E"/>
    <w:multiLevelType w:val="singleLevel"/>
    <w:tmpl w:val="8A7CA83E"/>
    <w:lvl w:ilvl="0" w:tentative="0">
      <w:start w:val="9"/>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FCA5E3A8"/>
    <w:multiLevelType w:val="singleLevel"/>
    <w:tmpl w:val="FCA5E3A8"/>
    <w:lvl w:ilvl="0" w:tentative="0">
      <w:start w:val="1"/>
      <w:numFmt w:val="decimal"/>
      <w:suff w:val="nothing"/>
      <w:lvlText w:val="（%1）"/>
      <w:lvlJc w:val="left"/>
      <w:pPr>
        <w:ind w:left="-210"/>
      </w:pPr>
    </w:lvl>
  </w:abstractNum>
  <w:abstractNum w:abstractNumId="4">
    <w:nsid w:val="00000001"/>
    <w:multiLevelType w:val="multilevel"/>
    <w:tmpl w:val="00000001"/>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53208E"/>
    <w:multiLevelType w:val="multilevel"/>
    <w:tmpl w:val="0053208E"/>
    <w:lvl w:ilvl="0" w:tentative="0">
      <w:start w:val="1"/>
      <w:numFmt w:val="chineseCounting"/>
      <w:suff w:val="nothing"/>
      <w:lvlText w:val="%1、"/>
      <w:lvlJc w:val="left"/>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B684AB8"/>
    <w:multiLevelType w:val="singleLevel"/>
    <w:tmpl w:val="1B684AB8"/>
    <w:lvl w:ilvl="0" w:tentative="0">
      <w:start w:val="1"/>
      <w:numFmt w:val="chineseCounting"/>
      <w:suff w:val="space"/>
      <w:lvlText w:val="第%1章"/>
      <w:lvlJc w:val="left"/>
      <w:rPr>
        <w:rFonts w:hint="eastAsia"/>
      </w:rPr>
    </w:lvl>
  </w:abstractNum>
  <w:abstractNum w:abstractNumId="7">
    <w:nsid w:val="20F68434"/>
    <w:multiLevelType w:val="singleLevel"/>
    <w:tmpl w:val="20F68434"/>
    <w:lvl w:ilvl="0" w:tentative="0">
      <w:start w:val="1"/>
      <w:numFmt w:val="decimal"/>
      <w:suff w:val="nothing"/>
      <w:lvlText w:val="%1、"/>
      <w:lvlJc w:val="left"/>
    </w:lvl>
  </w:abstractNum>
  <w:abstractNum w:abstractNumId="8">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6"/>
  </w:num>
  <w:num w:numId="3">
    <w:abstractNumId w:val="9"/>
  </w:num>
  <w:num w:numId="4">
    <w:abstractNumId w:val="2"/>
  </w:num>
  <w:num w:numId="5">
    <w:abstractNumId w:val="1"/>
  </w:num>
  <w:num w:numId="6">
    <w:abstractNumId w:val="3"/>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ThiNWJmMTdkOWMwZDgzY2M2ZDEzNTJhYjFmZDkifQ=="/>
  </w:docVars>
  <w:rsids>
    <w:rsidRoot w:val="7D040AB6"/>
    <w:rsid w:val="0000488D"/>
    <w:rsid w:val="00016759"/>
    <w:rsid w:val="000278AB"/>
    <w:rsid w:val="00077AA7"/>
    <w:rsid w:val="000C337E"/>
    <w:rsid w:val="0022301C"/>
    <w:rsid w:val="00265730"/>
    <w:rsid w:val="002B5793"/>
    <w:rsid w:val="00461368"/>
    <w:rsid w:val="004F4DC4"/>
    <w:rsid w:val="005429CB"/>
    <w:rsid w:val="005A705A"/>
    <w:rsid w:val="00631C3F"/>
    <w:rsid w:val="0064444C"/>
    <w:rsid w:val="00677BCD"/>
    <w:rsid w:val="006F4109"/>
    <w:rsid w:val="007365C1"/>
    <w:rsid w:val="00746494"/>
    <w:rsid w:val="007760AF"/>
    <w:rsid w:val="00780419"/>
    <w:rsid w:val="00823167"/>
    <w:rsid w:val="00841DFE"/>
    <w:rsid w:val="008439DA"/>
    <w:rsid w:val="008A68A0"/>
    <w:rsid w:val="008F14FA"/>
    <w:rsid w:val="008F26A3"/>
    <w:rsid w:val="0094161B"/>
    <w:rsid w:val="00A01A95"/>
    <w:rsid w:val="00A12C4A"/>
    <w:rsid w:val="00A72CD1"/>
    <w:rsid w:val="00B16CD7"/>
    <w:rsid w:val="00B2440D"/>
    <w:rsid w:val="00B63B3D"/>
    <w:rsid w:val="00BC1C51"/>
    <w:rsid w:val="00BC2AF6"/>
    <w:rsid w:val="00BE12C0"/>
    <w:rsid w:val="00C16D65"/>
    <w:rsid w:val="00C80DB0"/>
    <w:rsid w:val="00C866E7"/>
    <w:rsid w:val="00D644BF"/>
    <w:rsid w:val="00DD04E2"/>
    <w:rsid w:val="00DF3B6A"/>
    <w:rsid w:val="00F3202A"/>
    <w:rsid w:val="00F523A1"/>
    <w:rsid w:val="00F90C3B"/>
    <w:rsid w:val="00FF60E3"/>
    <w:rsid w:val="01FE7345"/>
    <w:rsid w:val="058C78B0"/>
    <w:rsid w:val="05E13064"/>
    <w:rsid w:val="093A3733"/>
    <w:rsid w:val="0B4508AE"/>
    <w:rsid w:val="0B69712C"/>
    <w:rsid w:val="0E0B7FF0"/>
    <w:rsid w:val="117A5014"/>
    <w:rsid w:val="127F05A0"/>
    <w:rsid w:val="133E761C"/>
    <w:rsid w:val="136D78F8"/>
    <w:rsid w:val="162A4F7D"/>
    <w:rsid w:val="1994787E"/>
    <w:rsid w:val="1B543038"/>
    <w:rsid w:val="1D6A2E8A"/>
    <w:rsid w:val="1DD000AF"/>
    <w:rsid w:val="1E09745A"/>
    <w:rsid w:val="1FDE3D99"/>
    <w:rsid w:val="22530823"/>
    <w:rsid w:val="290C3F16"/>
    <w:rsid w:val="29C5318E"/>
    <w:rsid w:val="2C2B4137"/>
    <w:rsid w:val="2C9A0A9E"/>
    <w:rsid w:val="2DA70D65"/>
    <w:rsid w:val="33966C79"/>
    <w:rsid w:val="343706EB"/>
    <w:rsid w:val="351A08D0"/>
    <w:rsid w:val="371842A3"/>
    <w:rsid w:val="37226448"/>
    <w:rsid w:val="38862448"/>
    <w:rsid w:val="38C36313"/>
    <w:rsid w:val="3FF70D89"/>
    <w:rsid w:val="42075FF8"/>
    <w:rsid w:val="43B752DD"/>
    <w:rsid w:val="472F3905"/>
    <w:rsid w:val="4782487D"/>
    <w:rsid w:val="47E12DEF"/>
    <w:rsid w:val="49107E10"/>
    <w:rsid w:val="4BAD0151"/>
    <w:rsid w:val="4C8F75A2"/>
    <w:rsid w:val="4E8C008E"/>
    <w:rsid w:val="50771A9C"/>
    <w:rsid w:val="50BB0632"/>
    <w:rsid w:val="529B6352"/>
    <w:rsid w:val="553966CD"/>
    <w:rsid w:val="56B32622"/>
    <w:rsid w:val="594C2ABF"/>
    <w:rsid w:val="59CF7566"/>
    <w:rsid w:val="5B1333EE"/>
    <w:rsid w:val="5C1B06CB"/>
    <w:rsid w:val="61EE37D0"/>
    <w:rsid w:val="63A9427A"/>
    <w:rsid w:val="63D462B1"/>
    <w:rsid w:val="641A3596"/>
    <w:rsid w:val="65E40ADA"/>
    <w:rsid w:val="66330B86"/>
    <w:rsid w:val="66E22203"/>
    <w:rsid w:val="677C4630"/>
    <w:rsid w:val="69A211A5"/>
    <w:rsid w:val="69D50CF4"/>
    <w:rsid w:val="6C487AFD"/>
    <w:rsid w:val="6CB24363"/>
    <w:rsid w:val="6FCF0795"/>
    <w:rsid w:val="713D7178"/>
    <w:rsid w:val="72D841C0"/>
    <w:rsid w:val="75053D29"/>
    <w:rsid w:val="754D1D92"/>
    <w:rsid w:val="769F3348"/>
    <w:rsid w:val="7B5F74F8"/>
    <w:rsid w:val="7D040AB6"/>
    <w:rsid w:val="7D4119E6"/>
    <w:rsid w:val="7DA907B5"/>
    <w:rsid w:val="7EAC4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autoSpaceDE w:val="0"/>
      <w:autoSpaceDN w:val="0"/>
      <w:adjustRightInd w:val="0"/>
      <w:outlineLvl w:val="1"/>
    </w:pPr>
    <w:rPr>
      <w:rFonts w:ascii="Times New Roman" w:hAnsi="Times New Roman" w:eastAsia="宋体" w:cs="Times New Roman"/>
      <w:sz w:val="24"/>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firstLineChars="200"/>
    </w:pPr>
    <w:rPr>
      <w:kern w:val="0"/>
      <w:sz w:val="24"/>
      <w:szCs w:val="20"/>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34"/>
    <w:qFormat/>
    <w:uiPriority w:val="0"/>
    <w:pPr>
      <w:jc w:val="left"/>
    </w:pPr>
  </w:style>
  <w:style w:type="paragraph" w:styleId="8">
    <w:name w:val="Body Text Indent"/>
    <w:basedOn w:val="1"/>
    <w:unhideWhenUsed/>
    <w:qFormat/>
    <w:uiPriority w:val="99"/>
    <w:pPr>
      <w:ind w:firstLine="630"/>
    </w:pPr>
    <w:rPr>
      <w:rFonts w:ascii="Calibri"/>
      <w:sz w:val="32"/>
      <w:szCs w:val="20"/>
    </w:rPr>
  </w:style>
  <w:style w:type="paragraph" w:styleId="9">
    <w:name w:val="Body Text Indent 2"/>
    <w:basedOn w:val="1"/>
    <w:link w:val="29"/>
    <w:qFormat/>
    <w:uiPriority w:val="0"/>
    <w:pPr>
      <w:spacing w:after="120" w:line="480" w:lineRule="auto"/>
      <w:ind w:left="420" w:leftChars="200"/>
    </w:pPr>
    <w:rPr>
      <w:szCs w:val="20"/>
    </w:rPr>
  </w:style>
  <w:style w:type="paragraph" w:styleId="10">
    <w:name w:val="Balloon Text"/>
    <w:basedOn w:val="1"/>
    <w:link w:val="36"/>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next w:val="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7"/>
    <w:next w:val="7"/>
    <w:link w:val="35"/>
    <w:qFormat/>
    <w:uiPriority w:val="0"/>
    <w:rPr>
      <w:b/>
      <w:bCs/>
    </w:rPr>
  </w:style>
  <w:style w:type="paragraph" w:styleId="15">
    <w:name w:val="Body Text First Indent"/>
    <w:basedOn w:val="2"/>
    <w:link w:val="30"/>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8"/>
    <w:next w:val="1"/>
    <w:link w:val="33"/>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basedOn w:val="19"/>
    <w:qFormat/>
    <w:uiPriority w:val="0"/>
    <w:rPr>
      <w:sz w:val="21"/>
      <w:szCs w:val="21"/>
    </w:rPr>
  </w:style>
  <w:style w:type="paragraph" w:customStyle="1" w:styleId="21">
    <w:name w:val="标题 5（有编号）（绿盟科技）"/>
    <w:basedOn w:val="22"/>
    <w:next w:val="2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4">
    <w:name w:val="13、表格内居中正文"/>
    <w:basedOn w:val="1"/>
    <w:qFormat/>
    <w:uiPriority w:val="0"/>
    <w:pPr>
      <w:wordWrap w:val="0"/>
      <w:topLinePunct/>
      <w:spacing w:line="360" w:lineRule="exact"/>
      <w:jc w:val="center"/>
    </w:pPr>
    <w:rPr>
      <w:rFonts w:ascii="宋体" w:hAnsi="宋体" w:eastAsia="宋体"/>
    </w:r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6">
    <w:name w:val="List Paragraph"/>
    <w:basedOn w:val="1"/>
    <w:qFormat/>
    <w:uiPriority w:val="0"/>
    <w:pPr>
      <w:spacing w:line="500" w:lineRule="exact"/>
      <w:ind w:firstLine="420" w:firstLineChars="200"/>
    </w:pPr>
    <w:rPr>
      <w:szCs w:val="24"/>
    </w:rPr>
  </w:style>
  <w:style w:type="paragraph" w:customStyle="1" w:styleId="27">
    <w:name w:val="正文首行缩进两字符"/>
    <w:basedOn w:val="1"/>
    <w:qFormat/>
    <w:uiPriority w:val="0"/>
    <w:pPr>
      <w:spacing w:line="360" w:lineRule="auto"/>
      <w:ind w:firstLine="20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正文文本缩进 2 Char"/>
    <w:link w:val="9"/>
    <w:qFormat/>
    <w:uiPriority w:val="0"/>
    <w:rPr>
      <w:szCs w:val="20"/>
    </w:rPr>
  </w:style>
  <w:style w:type="character" w:customStyle="1" w:styleId="30">
    <w:name w:val="正文首行缩进 Char"/>
    <w:link w:val="15"/>
    <w:qFormat/>
    <w:uiPriority w:val="0"/>
    <w:rPr>
      <w:rFonts w:ascii="仿宋_GB2312" w:hAnsi="仿宋_GB2312" w:eastAsia="仿宋_GB2312"/>
      <w:szCs w:val="20"/>
    </w:rPr>
  </w:style>
  <w:style w:type="paragraph" w:customStyle="1" w:styleId="31">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2">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3">
    <w:name w:val="正文首行缩进 2 Char"/>
    <w:link w:val="16"/>
    <w:qFormat/>
    <w:uiPriority w:val="99"/>
    <w:rPr>
      <w:rFonts w:ascii="宋体" w:hAnsi="Times New Roman"/>
      <w:kern w:val="0"/>
      <w:sz w:val="21"/>
      <w:szCs w:val="24"/>
    </w:rPr>
  </w:style>
  <w:style w:type="character" w:customStyle="1" w:styleId="34">
    <w:name w:val="批注文字 Char"/>
    <w:basedOn w:val="19"/>
    <w:link w:val="7"/>
    <w:qFormat/>
    <w:uiPriority w:val="0"/>
    <w:rPr>
      <w:kern w:val="2"/>
      <w:sz w:val="21"/>
      <w:szCs w:val="22"/>
    </w:rPr>
  </w:style>
  <w:style w:type="character" w:customStyle="1" w:styleId="35">
    <w:name w:val="批注主题 Char"/>
    <w:basedOn w:val="34"/>
    <w:link w:val="14"/>
    <w:qFormat/>
    <w:uiPriority w:val="0"/>
    <w:rPr>
      <w:b/>
      <w:bCs/>
      <w:kern w:val="2"/>
      <w:sz w:val="21"/>
      <w:szCs w:val="22"/>
    </w:rPr>
  </w:style>
  <w:style w:type="character" w:customStyle="1" w:styleId="36">
    <w:name w:val="批注框文本 Char"/>
    <w:basedOn w:val="19"/>
    <w:link w:val="10"/>
    <w:qFormat/>
    <w:uiPriority w:val="0"/>
    <w:rPr>
      <w:kern w:val="2"/>
      <w:sz w:val="18"/>
      <w:szCs w:val="18"/>
    </w:rPr>
  </w:style>
  <w:style w:type="character" w:customStyle="1" w:styleId="37">
    <w:name w:val="NormalCharacter"/>
    <w:semiHidden/>
    <w:qFormat/>
    <w:uiPriority w:val="0"/>
    <w:rPr>
      <w:rFonts w:asciiTheme="minorHAnsi" w:hAnsiTheme="minorHAnsi" w:eastAsiaTheme="minorEastAsia" w:cstheme="minorBidi"/>
      <w:kern w:val="2"/>
      <w:sz w:val="21"/>
      <w:szCs w:val="24"/>
      <w:lang w:val="en-US" w:eastAsia="zh-CN" w:bidi="ar-SA"/>
    </w:rPr>
  </w:style>
  <w:style w:type="table" w:customStyle="1" w:styleId="38">
    <w:name w:val="网格型1"/>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_Style 2"/>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10073</Words>
  <Characters>10455</Characters>
  <Lines>84</Lines>
  <Paragraphs>23</Paragraphs>
  <TotalTime>48</TotalTime>
  <ScaleCrop>false</ScaleCrop>
  <LinksUpToDate>false</LinksUpToDate>
  <CharactersWithSpaces>10843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2022-05-24T01:05:00Z</dcterms:created>
  <dc:creator>7</dc:creator>
  <cp:lastModifiedBy>Administrator</cp:lastModifiedBy>
  <dcterms:modified xsi:type="dcterms:W3CDTF">2022-09-26T04:51:42Z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453F4CE2257E4B6C90C1BEBEB39AA939</vt:lpwstr>
  </property>
</Properties>
</file>