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r>
        <w:rPr>
          <w:rFonts w:hint="eastAsia" w:ascii="仿宋" w:hAnsi="仿宋" w:eastAsia="仿宋" w:cs="仿宋"/>
          <w:b/>
          <w:bCs/>
          <w:color w:val="FF0000"/>
          <w:w w:val="80"/>
          <w:sz w:val="84"/>
          <w:szCs w:val="84"/>
        </w:rPr>
        <w:t>中国国际工程咨询协会文件</w:t>
      </w:r>
    </w:p>
    <w:p>
      <w:pPr>
        <w:adjustRightInd w:val="0"/>
        <w:snapToGrid w:val="0"/>
        <w:spacing w:line="300" w:lineRule="exact"/>
        <w:jc w:val="center"/>
        <w:rPr>
          <w:rFonts w:ascii="仿宋_GB2312" w:hAnsi="Calibri" w:eastAsia="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国咨协［2022］068 号</w:t>
      </w:r>
    </w:p>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ascii="仿宋" w:hAnsi="仿宋" w:eastAsia="仿宋" w:cs="仿宋"/>
          <w:b/>
          <w:bCs/>
          <w:color w:val="000000" w:themeColor="text1"/>
          <w:kern w:val="0"/>
          <w:sz w:val="32"/>
          <w:szCs w:val="32"/>
          <w:shd w:val="clear" w:color="000000" w:fill="auto"/>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关于举办EPC项目招投标、索赔、工程项目投资管控、造价纠纷解决对策与全过程工程咨询实务高级培训班的通知</w:t>
      </w:r>
    </w:p>
    <w:p>
      <w:pPr>
        <w:pStyle w:val="2"/>
        <w:rPr>
          <w:color w:val="000000" w:themeColor="text1"/>
          <w14:textFill>
            <w14:solidFill>
              <w14:schemeClr w14:val="tx1"/>
            </w14:solidFill>
          </w14:textFill>
        </w:rPr>
      </w:pPr>
    </w:p>
    <w:p>
      <w:pPr>
        <w:widowControl/>
        <w:spacing w:line="400" w:lineRule="exact"/>
        <w:jc w:val="left"/>
        <w:rPr>
          <w:rFonts w:ascii="仿宋" w:hAnsi="仿宋" w:eastAsia="仿宋" w:cs="仿宋"/>
          <w:b/>
          <w:color w:val="000000" w:themeColor="text1"/>
          <w:spacing w:val="10"/>
          <w:sz w:val="28"/>
          <w:szCs w:val="28"/>
          <w14:textFill>
            <w14:solidFill>
              <w14:schemeClr w14:val="tx1"/>
            </w14:solidFill>
          </w14:textFill>
        </w:rPr>
      </w:pPr>
      <w:r>
        <w:rPr>
          <w:rFonts w:hint="eastAsia" w:ascii="仿宋" w:hAnsi="仿宋" w:eastAsia="仿宋" w:cs="仿宋"/>
          <w:b/>
          <w:color w:val="000000" w:themeColor="text1"/>
          <w:spacing w:val="10"/>
          <w:sz w:val="28"/>
          <w:szCs w:val="28"/>
          <w14:textFill>
            <w14:solidFill>
              <w14:schemeClr w14:val="tx1"/>
            </w14:solidFill>
          </w14:textFill>
        </w:rPr>
        <w:t>各有关单位：</w:t>
      </w:r>
    </w:p>
    <w:p>
      <w:pPr>
        <w:pStyle w:val="10"/>
        <w:shd w:val="clear" w:color="auto" w:fill="FFFFFF"/>
        <w:spacing w:before="0" w:beforeAutospacing="0" w:after="0" w:afterAutospacing="0" w:line="400" w:lineRule="exact"/>
        <w:ind w:firstLine="600" w:firstLineChars="200"/>
        <w:jc w:val="both"/>
        <w:rPr>
          <w:rFonts w:ascii="仿宋" w:hAnsi="仿宋" w:eastAsia="仿宋" w:cs="仿宋"/>
          <w:color w:val="000000" w:themeColor="text1"/>
          <w:spacing w:val="10"/>
          <w:sz w:val="28"/>
          <w:szCs w:val="28"/>
          <w14:textFill>
            <w14:solidFill>
              <w14:schemeClr w14:val="tx1"/>
            </w14:solidFill>
          </w14:textFill>
        </w:rPr>
      </w:pPr>
    </w:p>
    <w:p>
      <w:pPr>
        <w:pStyle w:val="10"/>
        <w:shd w:val="clear" w:color="auto" w:fill="FFFFFF"/>
        <w:spacing w:before="0" w:beforeAutospacing="0" w:after="0" w:afterAutospacing="0" w:line="400" w:lineRule="exact"/>
        <w:ind w:firstLine="600" w:firstLineChars="200"/>
        <w:jc w:val="both"/>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住建部出台的《工程总承包管理办法》》和新版《合同（示范文本）》对EPC项目招投标提出新的要求，对对风险分担进行了详细规定，E</w:t>
      </w:r>
      <w:r>
        <w:rPr>
          <w:rFonts w:ascii="仿宋" w:hAnsi="仿宋" w:eastAsia="仿宋" w:cs="仿宋"/>
          <w:color w:val="000000" w:themeColor="text1"/>
          <w:spacing w:val="10"/>
          <w:sz w:val="28"/>
          <w:szCs w:val="28"/>
          <w14:textFill>
            <w14:solidFill>
              <w14:schemeClr w14:val="tx1"/>
            </w14:solidFill>
          </w14:textFill>
        </w:rPr>
        <w:t>PC</w:t>
      </w:r>
      <w:r>
        <w:rPr>
          <w:rFonts w:hint="eastAsia" w:ascii="仿宋" w:hAnsi="仿宋" w:eastAsia="仿宋" w:cs="仿宋"/>
          <w:color w:val="000000" w:themeColor="text1"/>
          <w:spacing w:val="10"/>
          <w:sz w:val="28"/>
          <w:szCs w:val="28"/>
          <w14:textFill>
            <w14:solidFill>
              <w14:schemeClr w14:val="tx1"/>
            </w14:solidFill>
          </w14:textFill>
        </w:rPr>
        <w:t>项目如何计价，合同价格如何约定？结算索赔计量计价需要注意哪些问题？招投标、合同签订履约、分包、计量计价、变更索赔与结算等过程如何合理有效地管控造价？还需要结合实务进行深入解析。同时预结算审核和竣工结算审计，也始终影响着各参建方，如何应对官方审计和财政评审，变被动为主动，确保较好的经济效益，越来越受到相关企业的高度关注。</w:t>
      </w:r>
    </w:p>
    <w:p>
      <w:pPr>
        <w:pStyle w:val="10"/>
        <w:shd w:val="clear" w:color="auto" w:fill="FFFFFF"/>
        <w:spacing w:before="0" w:beforeAutospacing="0" w:after="0" w:afterAutospacing="0" w:line="400" w:lineRule="exact"/>
        <w:ind w:firstLine="600" w:firstLineChars="200"/>
        <w:jc w:val="both"/>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另一方面，建设项目投资融资体制改革、如何科学实施EPC项目工程总承包以及计量计价、优化标前设计、提高清单编制严谨与准确性，同时，对工程合同履行阶段风险的把控管理、工程造价编制阶段各个环节可能存在的纠纷隐患点、涉法行政诉讼案件如何应对，“1+N+X”模型新工程咨询、大数据、人工智能、BIM 等技术与新基建、新咨询、新金融的深度与广度战略融合，以达到提升企业项目投资管控能力，适应新工程咨询的发展需求。</w:t>
      </w:r>
    </w:p>
    <w:p>
      <w:pPr>
        <w:spacing w:line="400" w:lineRule="exact"/>
        <w:ind w:firstLine="600" w:firstLineChars="200"/>
        <w:rPr>
          <w:rFonts w:ascii="仿宋" w:hAnsi="仿宋" w:eastAsia="仿宋" w:cs="仿宋"/>
          <w:color w:val="000000" w:themeColor="text1"/>
          <w:spacing w:val="10"/>
          <w:kern w:val="0"/>
          <w:sz w:val="28"/>
          <w:szCs w:val="28"/>
          <w14:textFill>
            <w14:solidFill>
              <w14:schemeClr w14:val="tx1"/>
            </w14:solidFill>
          </w14:textFill>
        </w:rPr>
      </w:pPr>
      <w:r>
        <w:rPr>
          <w:rFonts w:hint="eastAsia" w:ascii="仿宋" w:hAnsi="仿宋" w:eastAsia="仿宋" w:cs="仿宋"/>
          <w:color w:val="000000" w:themeColor="text1"/>
          <w:spacing w:val="10"/>
          <w:kern w:val="0"/>
          <w:sz w:val="28"/>
          <w:szCs w:val="28"/>
          <w14:textFill>
            <w14:solidFill>
              <w14:schemeClr w14:val="tx1"/>
            </w14:solidFill>
          </w14:textFill>
        </w:rPr>
        <w:t>为帮助各单位解读分析新法规、新政策带来的影响，系统解决工程实务中遇到的问题，提升管理人员专业水平，有效规避风险、增强项目管控能力，我会决定举办“EPC项目招投标、工程项目投资管控、索赔、造价纠纷解决对策与全过程工程咨询实务高级培训班”。本次培训班由中国国际工程咨询协会主办，</w:t>
      </w:r>
      <w:r>
        <w:rPr>
          <w:rFonts w:hint="eastAsia" w:ascii="仿宋" w:hAnsi="仿宋" w:eastAsia="仿宋" w:cs="仿宋"/>
          <w:color w:val="000000" w:themeColor="text1"/>
          <w:spacing w:val="10"/>
          <w:kern w:val="0"/>
          <w:sz w:val="28"/>
          <w:szCs w:val="28"/>
          <w:lang w:val="zh-CN"/>
          <w14:textFill>
            <w14:solidFill>
              <w14:schemeClr w14:val="tx1"/>
            </w14:solidFill>
          </w14:textFill>
        </w:rPr>
        <w:t>北京中科善若教育咨询有限公司</w:t>
      </w:r>
      <w:r>
        <w:rPr>
          <w:rFonts w:hint="eastAsia" w:ascii="仿宋" w:hAnsi="仿宋" w:eastAsia="仿宋" w:cs="仿宋"/>
          <w:color w:val="000000" w:themeColor="text1"/>
          <w:spacing w:val="10"/>
          <w:kern w:val="0"/>
          <w:sz w:val="28"/>
          <w:szCs w:val="28"/>
          <w14:textFill>
            <w14:solidFill>
              <w14:schemeClr w14:val="tx1"/>
            </w14:solidFill>
          </w14:textFill>
        </w:rPr>
        <w:t>承办；请各单位积极派员参加，有关事项详见附件。</w:t>
      </w:r>
    </w:p>
    <w:p>
      <w:pPr>
        <w:pStyle w:val="2"/>
        <w:spacing w:line="400" w:lineRule="exact"/>
        <w:ind w:left="0" w:leftChars="0" w:firstLine="0" w:firstLineChars="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一、课程收益</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成熟的课程设计，让参会学员深入了解新政对于对总包方、分包方有哪些影响？</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项目如何计价，合同价格如何约定？如何约定总价包干？工期进度和风险分担如何调整合同价款？变更调整价款有哪些风险？结算索赔计量计价需要注意哪些问题？招投标、合同签订履约、分包、计量计价、变更索赔与结算等过程如何合理有效地管控造价？确保取得较好的经济效益。</w:t>
      </w:r>
    </w:p>
    <w:p>
      <w:pPr>
        <w:spacing w:line="40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二、培训内容（详见附件）</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1.EPC项目招投标问题；</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2.进度成本与分包风险管控与利润常见问题分析；</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3.工程项目投资管控理论与实务；</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4.EPC 投资管控八大利器；</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5.工程造价纠纷解决思路与案例分析；</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 xml:space="preserve">6.全过程工程咨询控制要点与操作实务。 </w:t>
      </w:r>
      <w:r>
        <w:rPr>
          <w:rFonts w:hint="eastAsia" w:ascii="仿宋" w:hAnsi="仿宋" w:eastAsia="仿宋" w:cs="仿宋"/>
          <w:b/>
          <w:bCs/>
          <w:sz w:val="28"/>
          <w:szCs w:val="28"/>
        </w:rPr>
        <w:t xml:space="preserve">  </w:t>
      </w:r>
    </w:p>
    <w:p>
      <w:pPr>
        <w:spacing w:line="400" w:lineRule="exact"/>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三、培训对象</w:t>
      </w:r>
    </w:p>
    <w:p>
      <w:pPr>
        <w:spacing w:line="400" w:lineRule="exact"/>
        <w:ind w:firstLine="560" w:firstLineChars="200"/>
        <w:rPr>
          <w:rFonts w:ascii="仿宋" w:hAnsi="仿宋" w:eastAsia="仿宋" w:cs="仿宋"/>
          <w:snapToGrid w:val="0"/>
          <w:color w:val="000000" w:themeColor="text1"/>
          <w:kern w:val="20"/>
          <w:position w:val="-4"/>
          <w:sz w:val="28"/>
          <w:szCs w:val="28"/>
          <w:lang w:val="zh-CN"/>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各地政府建设项目主管部门、各业主单位从事项目管理、合同管理、工程项目建设、开发等相关部门人员、各地政府建设工程交易中心、投资项目评审中心、政府投资审计中心；各建筑施工企业负责人、设计院（所）分管生产经营、项目建设、市场开发、审计法务等相关部门负责人；中、高等院校、医院及科研机构从事相关工作的人员，各勘察设计、招标代理、造价咨询、市场监管等相关负责人。</w:t>
      </w:r>
    </w:p>
    <w:p>
      <w:pPr>
        <w:spacing w:line="400" w:lineRule="exact"/>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四、拟邀专家</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拟邀请国家发改委、住建部、清华大学、中国对外工程承包商会、大型央企高层领导及具有项目管理丰富经验的实战专家现场授课，结合经典实例分析，并进行现场答疑和互动交流。</w:t>
      </w:r>
    </w:p>
    <w:p>
      <w:pPr>
        <w:spacing w:line="400" w:lineRule="exact"/>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五、时间地点</w:t>
      </w:r>
    </w:p>
    <w:p>
      <w:pPr>
        <w:pStyle w:val="2"/>
        <w:tabs>
          <w:tab w:val="left" w:pos="-1440"/>
        </w:tabs>
        <w:spacing w:line="440" w:lineRule="exact"/>
        <w:ind w:firstLine="600"/>
        <w:rPr>
          <w:rFonts w:ascii="仿宋" w:hAnsi="仿宋" w:eastAsia="仿宋" w:cs="仿宋"/>
          <w:spacing w:val="10"/>
          <w:sz w:val="28"/>
          <w:szCs w:val="28"/>
        </w:rPr>
      </w:pPr>
      <w:r>
        <w:rPr>
          <w:rFonts w:hint="eastAsia" w:ascii="仿宋" w:hAnsi="仿宋" w:eastAsia="仿宋" w:cs="仿宋"/>
          <w:spacing w:val="10"/>
          <w:sz w:val="28"/>
          <w:szCs w:val="28"/>
        </w:rPr>
        <w:t>2022年10月21日—10月24日    成都市（21日全天报到）</w:t>
      </w:r>
    </w:p>
    <w:p>
      <w:pPr>
        <w:pStyle w:val="2"/>
        <w:tabs>
          <w:tab w:val="left" w:pos="-1440"/>
        </w:tabs>
        <w:spacing w:line="440" w:lineRule="exact"/>
        <w:ind w:firstLine="600"/>
        <w:rPr>
          <w:rFonts w:ascii="仿宋" w:hAnsi="仿宋" w:eastAsia="仿宋" w:cs="仿宋"/>
          <w:spacing w:val="10"/>
          <w:sz w:val="28"/>
          <w:szCs w:val="28"/>
        </w:rPr>
      </w:pPr>
      <w:r>
        <w:rPr>
          <w:rFonts w:hint="eastAsia" w:ascii="仿宋" w:hAnsi="仿宋" w:eastAsia="仿宋" w:cs="仿宋"/>
          <w:spacing w:val="10"/>
          <w:sz w:val="28"/>
          <w:szCs w:val="28"/>
        </w:rPr>
        <w:t xml:space="preserve">2022年11月18日—11月21日    </w:t>
      </w:r>
      <w:r>
        <w:rPr>
          <w:rFonts w:hint="eastAsia" w:hAnsi="仿宋" w:cs="仿宋"/>
          <w:spacing w:val="10"/>
          <w:sz w:val="28"/>
          <w:szCs w:val="28"/>
        </w:rPr>
        <w:t>西安</w:t>
      </w:r>
      <w:r>
        <w:rPr>
          <w:rFonts w:hint="eastAsia" w:ascii="仿宋" w:hAnsi="仿宋" w:eastAsia="仿宋" w:cs="仿宋"/>
          <w:spacing w:val="10"/>
          <w:sz w:val="28"/>
          <w:szCs w:val="28"/>
        </w:rPr>
        <w:t>市（18日全天报到）</w:t>
      </w:r>
    </w:p>
    <w:p>
      <w:pPr>
        <w:pStyle w:val="2"/>
        <w:tabs>
          <w:tab w:val="left" w:pos="-1440"/>
        </w:tabs>
        <w:spacing w:line="440" w:lineRule="exact"/>
        <w:ind w:firstLine="600"/>
        <w:rPr>
          <w:rFonts w:ascii="仿宋" w:hAnsi="仿宋" w:eastAsia="仿宋" w:cs="仿宋"/>
          <w:spacing w:val="10"/>
          <w:sz w:val="28"/>
          <w:szCs w:val="28"/>
        </w:rPr>
      </w:pPr>
      <w:r>
        <w:rPr>
          <w:rFonts w:hint="eastAsia" w:ascii="仿宋" w:hAnsi="仿宋" w:eastAsia="仿宋" w:cs="仿宋"/>
          <w:spacing w:val="10"/>
          <w:sz w:val="28"/>
          <w:szCs w:val="28"/>
        </w:rPr>
        <w:t xml:space="preserve">2022年12月02日—12月05日   </w:t>
      </w:r>
      <w:r>
        <w:rPr>
          <w:rFonts w:hint="eastAsia" w:hAnsi="仿宋" w:cs="仿宋"/>
          <w:spacing w:val="10"/>
          <w:sz w:val="28"/>
          <w:szCs w:val="28"/>
        </w:rPr>
        <w:t xml:space="preserve"> 南宁</w:t>
      </w:r>
      <w:r>
        <w:rPr>
          <w:rFonts w:hint="eastAsia" w:ascii="仿宋" w:hAnsi="仿宋" w:eastAsia="仿宋" w:cs="仿宋"/>
          <w:spacing w:val="10"/>
          <w:sz w:val="28"/>
          <w:szCs w:val="28"/>
        </w:rPr>
        <w:t>市（02日全天报到）</w:t>
      </w:r>
    </w:p>
    <w:p>
      <w:pPr>
        <w:pStyle w:val="2"/>
        <w:tabs>
          <w:tab w:val="left" w:pos="-1440"/>
        </w:tabs>
        <w:spacing w:line="440" w:lineRule="exact"/>
        <w:ind w:firstLine="600"/>
        <w:rPr>
          <w:rFonts w:ascii="仿宋" w:hAnsi="仿宋" w:eastAsia="仿宋" w:cs="仿宋"/>
          <w:spacing w:val="10"/>
          <w:sz w:val="28"/>
          <w:szCs w:val="28"/>
        </w:rPr>
      </w:pPr>
      <w:r>
        <w:rPr>
          <w:rFonts w:hint="eastAsia" w:ascii="仿宋" w:hAnsi="仿宋" w:eastAsia="仿宋" w:cs="仿宋"/>
          <w:spacing w:val="10"/>
          <w:sz w:val="28"/>
          <w:szCs w:val="28"/>
        </w:rPr>
        <w:t xml:space="preserve">2022年12月16日—12月19日    </w:t>
      </w:r>
      <w:r>
        <w:rPr>
          <w:rFonts w:hint="eastAsia" w:hAnsi="仿宋" w:cs="仿宋"/>
          <w:spacing w:val="10"/>
          <w:sz w:val="28"/>
          <w:szCs w:val="28"/>
        </w:rPr>
        <w:t>重庆市</w:t>
      </w:r>
      <w:r>
        <w:rPr>
          <w:rFonts w:hint="eastAsia" w:ascii="仿宋" w:hAnsi="仿宋" w:eastAsia="仿宋" w:cs="仿宋"/>
          <w:spacing w:val="10"/>
          <w:sz w:val="28"/>
          <w:szCs w:val="28"/>
        </w:rPr>
        <w:t>（16日全天报到）</w:t>
      </w:r>
    </w:p>
    <w:p>
      <w:pPr>
        <w:pStyle w:val="2"/>
        <w:tabs>
          <w:tab w:val="left" w:pos="-1440"/>
        </w:tabs>
        <w:spacing w:line="440" w:lineRule="exact"/>
        <w:ind w:firstLine="600"/>
        <w:rPr>
          <w:rFonts w:ascii="仿宋" w:hAnsi="仿宋" w:eastAsia="仿宋" w:cs="仿宋"/>
          <w:spacing w:val="10"/>
          <w:sz w:val="28"/>
          <w:szCs w:val="28"/>
        </w:rPr>
      </w:pPr>
      <w:r>
        <w:rPr>
          <w:rFonts w:hint="eastAsia" w:ascii="仿宋" w:hAnsi="仿宋" w:eastAsia="仿宋" w:cs="仿宋"/>
          <w:spacing w:val="10"/>
          <w:sz w:val="28"/>
          <w:szCs w:val="28"/>
        </w:rPr>
        <w:t>2023年01月06日—01月09日    厦门市（06日全天报到）</w:t>
      </w:r>
    </w:p>
    <w:p>
      <w:pPr>
        <w:spacing w:line="40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（因疫情采取线上线下同步授课，费用不变，线上学员2022年可免费参加线下公开课一次。）</w:t>
      </w:r>
    </w:p>
    <w:p>
      <w:pPr>
        <w:spacing w:line="400" w:lineRule="exact"/>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六、收费标准</w:t>
      </w:r>
    </w:p>
    <w:p>
      <w:pPr>
        <w:spacing w:line="40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spacing w:line="40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pStyle w:val="2"/>
        <w:tabs>
          <w:tab w:val="left" w:pos="-1440"/>
        </w:tabs>
        <w:spacing w:line="400" w:lineRule="exact"/>
        <w:ind w:firstLine="0" w:firstLineChars="0"/>
        <w:rPr>
          <w:rFonts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课程权益</w:t>
      </w:r>
    </w:p>
    <w:p>
      <w:pPr>
        <w:pStyle w:val="2"/>
        <w:tabs>
          <w:tab w:val="left" w:pos="-1440"/>
        </w:tabs>
        <w:spacing w:line="400" w:lineRule="exact"/>
        <w:ind w:left="0" w:leftChars="0" w:firstLine="560"/>
        <w:rPr>
          <w:rFonts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1.本培训班常年举办，本人全年免费复训一次，只交资料费300元即可，赠送同主题一次网络课程；</w:t>
      </w:r>
    </w:p>
    <w:p>
      <w:pPr>
        <w:pStyle w:val="2"/>
        <w:tabs>
          <w:tab w:val="left" w:pos="-1440"/>
        </w:tabs>
        <w:spacing w:line="400" w:lineRule="exact"/>
        <w:ind w:left="0" w:leftChars="0" w:firstLine="560"/>
        <w:rPr>
          <w:rFonts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2.推送各类行业政策新闻及专家解读相关资讯信息； </w:t>
      </w:r>
    </w:p>
    <w:p>
      <w:pPr>
        <w:pStyle w:val="2"/>
        <w:tabs>
          <w:tab w:val="left" w:pos="-1440"/>
        </w:tabs>
        <w:spacing w:line="400" w:lineRule="exact"/>
        <w:ind w:left="0" w:leftChars="0" w:firstLine="560"/>
        <w:rPr>
          <w:rFonts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3.享有最新优质项目推送权益； </w:t>
      </w:r>
    </w:p>
    <w:p>
      <w:pPr>
        <w:pStyle w:val="2"/>
        <w:tabs>
          <w:tab w:val="left" w:pos="-1440"/>
        </w:tabs>
        <w:spacing w:line="400" w:lineRule="exact"/>
        <w:ind w:left="0" w:leftChars="0" w:firstLine="560"/>
        <w:rPr>
          <w:rFonts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培训结束后，经考核合格，由我会颁发《工程总包项目经理》、《合同经理》或《设计经理》证书，证书申报需提供报名回执表、二寸蓝底免冠彩色照片（电子版）、身份证（复印件）、学历证书（复印件）各一份。</w:t>
      </w:r>
    </w:p>
    <w:p>
      <w:pPr>
        <w:spacing w:line="400" w:lineRule="exact"/>
        <w:rPr>
          <w:rFonts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rPr>
        <w:t>七、</w:t>
      </w:r>
      <w:r>
        <w:rPr>
          <w:rFonts w:hint="eastAsia" w:ascii="仿宋" w:hAnsi="仿宋" w:eastAsia="仿宋" w:cs="仿宋"/>
          <w:b/>
          <w:bCs/>
          <w:color w:val="000000"/>
          <w:sz w:val="28"/>
          <w:szCs w:val="28"/>
        </w:rPr>
        <w:t>联系方式</w:t>
      </w:r>
    </w:p>
    <w:p>
      <w:pPr>
        <w:widowControl/>
        <w:spacing w:line="400" w:lineRule="exact"/>
        <w:ind w:firstLine="600" w:firstLineChars="200"/>
        <w:rPr>
          <w:rFonts w:ascii="仿宋" w:hAnsi="仿宋" w:eastAsia="仿宋" w:cs="仿宋"/>
        </w:rPr>
      </w:pPr>
      <w:r>
        <w:rPr>
          <w:rFonts w:hint="eastAsia" w:ascii="仿宋" w:hAnsi="仿宋" w:eastAsia="仿宋" w:cs="仿宋"/>
          <w:spacing w:val="10"/>
          <w:sz w:val="28"/>
          <w:szCs w:val="28"/>
        </w:rPr>
        <w:t xml:space="preserve">联系人：李妍老师   手 机：13439361367（同微信） </w:t>
      </w:r>
    </w:p>
    <w:p>
      <w:pPr>
        <w:pStyle w:val="2"/>
        <w:rPr>
          <w:rFonts w:ascii="仿宋" w:hAnsi="仿宋" w:eastAsia="仿宋" w:cs="仿宋"/>
        </w:rPr>
      </w:pPr>
    </w:p>
    <w:p>
      <w:pPr>
        <w:pStyle w:val="2"/>
        <w:rPr>
          <w:rFonts w:ascii="仿宋" w:hAnsi="仿宋" w:eastAsia="仿宋" w:cs="仿宋"/>
        </w:rPr>
      </w:pPr>
    </w:p>
    <w:p>
      <w:pPr>
        <w:pStyle w:val="2"/>
        <w:ind w:firstLine="562"/>
        <w:rPr>
          <w:rFonts w:ascii="仿宋" w:hAnsi="仿宋" w:eastAsia="仿宋" w:cs="仿宋"/>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3600450</wp:posOffset>
            </wp:positionH>
            <wp:positionV relativeFrom="paragraph">
              <wp:posOffset>44450</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cstate="print">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rPr>
          <w:rFonts w:ascii="仿宋" w:hAnsi="仿宋" w:eastAsia="仿宋" w:cs="仿宋"/>
        </w:rPr>
      </w:pPr>
    </w:p>
    <w:p>
      <w:pPr>
        <w:pStyle w:val="2"/>
        <w:ind w:firstLine="5040" w:firstLineChars="1800"/>
        <w:rPr>
          <w:rFonts w:ascii="仿宋" w:hAnsi="仿宋" w:eastAsia="仿宋" w:cs="仿宋"/>
          <w:sz w:val="28"/>
          <w:szCs w:val="28"/>
        </w:rPr>
      </w:pPr>
      <w:r>
        <w:rPr>
          <w:rFonts w:hint="eastAsia" w:ascii="仿宋" w:hAnsi="仿宋" w:eastAsia="仿宋" w:cs="仿宋"/>
          <w:sz w:val="28"/>
          <w:szCs w:val="28"/>
        </w:rPr>
        <w:t>中国国际工程咨询协会</w:t>
      </w:r>
    </w:p>
    <w:p>
      <w:pPr>
        <w:pStyle w:val="2"/>
        <w:ind w:firstLine="5320" w:firstLineChars="1900"/>
        <w:rPr>
          <w:rFonts w:ascii="仿宋" w:hAnsi="仿宋" w:eastAsia="仿宋" w:cs="仿宋"/>
          <w:sz w:val="28"/>
          <w:szCs w:val="28"/>
        </w:rPr>
      </w:pPr>
      <w:r>
        <w:rPr>
          <w:rFonts w:hint="eastAsia" w:ascii="仿宋" w:hAnsi="仿宋" w:eastAsia="仿宋" w:cs="仿宋"/>
          <w:sz w:val="28"/>
          <w:szCs w:val="28"/>
        </w:rPr>
        <w:t>2022年8月30日</w:t>
      </w:r>
    </w:p>
    <w:p>
      <w:pPr>
        <w:pStyle w:val="2"/>
        <w:ind w:left="0" w:leftChars="0" w:firstLine="0" w:firstLineChars="0"/>
        <w:rPr>
          <w:rFonts w:ascii="仿宋" w:hAnsi="仿宋" w:eastAsia="仿宋" w:cs="仿宋"/>
        </w:rPr>
      </w:pPr>
    </w:p>
    <w:p>
      <w:pPr>
        <w:spacing w:line="440" w:lineRule="exact"/>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firstLine="562"/>
        <w:rPr>
          <w:rFonts w:ascii="仿宋" w:hAnsi="仿宋" w:eastAsia="仿宋" w:cs="仿宋"/>
          <w:b/>
          <w:color w:val="000000" w:themeColor="text1"/>
          <w:sz w:val="28"/>
          <w:szCs w:val="28"/>
          <w14:textFill>
            <w14:solidFill>
              <w14:schemeClr w14:val="tx1"/>
            </w14:solidFill>
          </w14:textFill>
        </w:rPr>
      </w:pPr>
    </w:p>
    <w:p>
      <w:pPr>
        <w:pStyle w:val="2"/>
        <w:ind w:left="0" w:leftChars="0" w:firstLine="0" w:firstLineChars="0"/>
        <w:rPr>
          <w:rFonts w:ascii="仿宋" w:hAnsi="仿宋" w:eastAsia="仿宋" w:cs="仿宋"/>
          <w:b/>
          <w:color w:val="000000" w:themeColor="text1"/>
          <w:sz w:val="28"/>
          <w:szCs w:val="28"/>
          <w14:textFill>
            <w14:solidFill>
              <w14:schemeClr w14:val="tx1"/>
            </w14:solidFill>
          </w14:textFill>
        </w:rPr>
      </w:pPr>
    </w:p>
    <w:p>
      <w:pPr>
        <w:spacing w:line="400" w:lineRule="exact"/>
        <w:ind w:firstLine="562" w:firstLineChars="200"/>
        <w:rPr>
          <w:rFonts w:hint="eastAsia" w:ascii="仿宋" w:hAnsi="仿宋" w:eastAsia="仿宋" w:cs="仿宋"/>
          <w:b/>
          <w:color w:val="000000" w:themeColor="text1"/>
          <w:sz w:val="28"/>
          <w:szCs w:val="28"/>
          <w14:textFill>
            <w14:solidFill>
              <w14:schemeClr w14:val="tx1"/>
            </w14:solidFill>
          </w14:textFill>
        </w:rPr>
      </w:pPr>
    </w:p>
    <w:p>
      <w:pPr>
        <w:spacing w:line="400" w:lineRule="exact"/>
        <w:ind w:firstLine="562" w:firstLineChars="200"/>
        <w:rPr>
          <w:rFonts w:hint="eastAsia" w:ascii="仿宋" w:hAnsi="仿宋" w:eastAsia="仿宋" w:cs="仿宋"/>
          <w:b/>
          <w:color w:val="000000" w:themeColor="text1"/>
          <w:sz w:val="28"/>
          <w:szCs w:val="28"/>
          <w14:textFill>
            <w14:solidFill>
              <w14:schemeClr w14:val="tx1"/>
            </w14:solidFill>
          </w14:textFill>
        </w:rPr>
      </w:pPr>
    </w:p>
    <w:p>
      <w:pPr>
        <w:spacing w:line="400" w:lineRule="exact"/>
        <w:ind w:firstLine="562" w:firstLineChars="200"/>
        <w:rPr>
          <w:rFonts w:ascii="仿宋" w:hAnsi="仿宋" w:eastAsia="仿宋" w:cs="仿宋"/>
          <w:b/>
          <w:color w:val="000000" w:themeColor="text1"/>
          <w:sz w:val="28"/>
          <w:szCs w:val="28"/>
          <w14:textFill>
            <w14:solidFill>
              <w14:schemeClr w14:val="tx1"/>
            </w14:solidFill>
          </w14:textFill>
        </w:rPr>
      </w:pPr>
      <w:bookmarkStart w:id="0" w:name="_GoBack"/>
      <w:bookmarkEnd w:id="0"/>
      <w:r>
        <w:rPr>
          <w:rFonts w:hint="eastAsia" w:ascii="仿宋" w:hAnsi="仿宋" w:eastAsia="仿宋" w:cs="仿宋"/>
          <w:b/>
          <w:color w:val="000000" w:themeColor="text1"/>
          <w:sz w:val="28"/>
          <w:szCs w:val="28"/>
          <w14:textFill>
            <w14:solidFill>
              <w14:schemeClr w14:val="tx1"/>
            </w14:solidFill>
          </w14:textFill>
        </w:rPr>
        <w:t>附件一、培训内容</w:t>
      </w:r>
    </w:p>
    <w:p>
      <w:pPr>
        <w:pStyle w:val="2"/>
        <w:spacing w:line="400" w:lineRule="exact"/>
        <w:ind w:left="0" w:leftChars="0" w:firstLine="562"/>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第一部分：EPC项目招投标问题</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 EPC工程总承包模式下，如何理解和定义工程变更和设计优化？</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ascii="仿宋" w:hAnsi="仿宋" w:eastAsia="仿宋" w:cs="仿宋"/>
          <w:snapToGrid w:val="0"/>
          <w:color w:val="000000" w:themeColor="text1"/>
          <w:kern w:val="20"/>
          <w:position w:val="-4"/>
          <w:sz w:val="28"/>
          <w:szCs w:val="28"/>
          <w14:textFill>
            <w14:solidFill>
              <w14:schemeClr w14:val="tx1"/>
            </w14:solidFill>
          </w14:textFill>
        </w:rPr>
        <w:t>2</w:t>
      </w:r>
      <w:r>
        <w:rPr>
          <w:rFonts w:hint="eastAsia" w:ascii="仿宋" w:hAnsi="仿宋" w:eastAsia="仿宋" w:cs="仿宋"/>
          <w:snapToGrid w:val="0"/>
          <w:color w:val="000000" w:themeColor="text1"/>
          <w:kern w:val="20"/>
          <w:position w:val="-4"/>
          <w:sz w:val="28"/>
          <w:szCs w:val="28"/>
          <w14:textFill>
            <w14:solidFill>
              <w14:schemeClr w14:val="tx1"/>
            </w14:solidFill>
          </w14:textFill>
        </w:rPr>
        <w:t>、</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量化设计任务书，明确各分区功能需求</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ascii="仿宋" w:hAnsi="仿宋" w:eastAsia="仿宋" w:cs="仿宋"/>
          <w:snapToGrid w:val="0"/>
          <w:color w:val="000000" w:themeColor="text1"/>
          <w:kern w:val="20"/>
          <w:position w:val="-4"/>
          <w:sz w:val="28"/>
          <w:szCs w:val="28"/>
          <w14:textFill>
            <w14:solidFill>
              <w14:schemeClr w14:val="tx1"/>
            </w14:solidFill>
          </w14:textFill>
        </w:rPr>
        <w:t>3</w:t>
      </w:r>
      <w:r>
        <w:rPr>
          <w:rFonts w:hint="eastAsia" w:ascii="仿宋" w:hAnsi="仿宋" w:eastAsia="仿宋" w:cs="仿宋"/>
          <w:snapToGrid w:val="0"/>
          <w:color w:val="000000" w:themeColor="text1"/>
          <w:kern w:val="20"/>
          <w:position w:val="-4"/>
          <w:sz w:val="28"/>
          <w:szCs w:val="28"/>
          <w14:textFill>
            <w14:solidFill>
              <w14:schemeClr w14:val="tx1"/>
            </w14:solidFill>
          </w14:textFill>
        </w:rPr>
        <w:t>、</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设计变更，以施工图为准，还是以初设图为准</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4、</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项目估算、概算、初设、施工图，土建、设备采购由哪些部分批准？</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5、 </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项目五证办理、桩基础检测，由哪方办理，费用谁出？</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6、</w:t>
      </w:r>
      <w:r>
        <w:rPr>
          <w:rFonts w:ascii="仿宋" w:hAnsi="仿宋" w:eastAsia="仿宋" w:cs="仿宋"/>
          <w:snapToGrid w:val="0"/>
          <w:color w:val="000000" w:themeColor="text1"/>
          <w:kern w:val="20"/>
          <w:position w:val="-4"/>
          <w:sz w:val="28"/>
          <w:szCs w:val="28"/>
          <w14:textFill>
            <w14:solidFill>
              <w14:schemeClr w14:val="tx1"/>
            </w14:solidFill>
          </w14:textFill>
        </w:rPr>
        <w:t>EPC</w:t>
      </w:r>
      <w:r>
        <w:rPr>
          <w:rFonts w:hint="eastAsia" w:ascii="仿宋" w:hAnsi="仿宋" w:eastAsia="仿宋" w:cs="仿宋"/>
          <w:snapToGrid w:val="0"/>
          <w:color w:val="000000" w:themeColor="text1"/>
          <w:kern w:val="20"/>
          <w:position w:val="-4"/>
          <w:sz w:val="28"/>
          <w:szCs w:val="28"/>
          <w14:textFill>
            <w14:solidFill>
              <w14:schemeClr w14:val="tx1"/>
            </w14:solidFill>
          </w14:textFill>
        </w:rPr>
        <w:t>优化节省的费用如何分配？如何控制降低质量的优化设计方案？如何管控工期？</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7、当设计单位出现供图不及时、设代不到位、方案不合理、要求不合理等问题时，如何处理？</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8、费率中标的总承包项目，其中达到招标规模的设备，是否需要公开招标？</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9、工程总承包，专业分包是否要进行招投标？</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10、工程总承包，总包方分包是否要进行招投标？</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11、 工程总承包单位的资质要求</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12、工程总承包人可以依约将设计或施工业务分包给具有相应资质的单位，在此阶段的分包是否要进行招投标？</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13、前期设计服务企业可否参加工程总承包</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14、如果具有相应资质的施工或设计单位将工程或设计任务再进行专业分包时，仍是否要进行招投标？</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15、设计单位作为联合体牵头人的情况下，设计单位在项目管理方面应该承担怎样的职责？</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16、设计方案投标补偿激励办法</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17、项目实施过程中出现与合同约定严重偏离的情形时，如进度滞后、施工质量不理想等，如何处理？</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18、优化调整中标设计方案</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19、再发包与专业分包</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20、在工程总承包模式下，宜对小的设计变更的管制放宽，宜鼓励承包人进行施工阶段的设计优化，优化结余可按分级累进法参与结余资金的分成</w:t>
      </w:r>
    </w:p>
    <w:p>
      <w:pPr>
        <w:spacing w:line="400" w:lineRule="exact"/>
        <w:ind w:firstLine="562" w:firstLineChars="200"/>
        <w:rPr>
          <w:rFonts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第二部分：进度成本与分包风险管控与利润常见问题分析</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1、利润最大化之三个阶段、三类合同、八次估算、两次限额</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2、分包采购方式与工作流程（项目部OR公司采购中的纠葛）</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3、分包合同中的法规红线（建筑法及国办发2017 19号解读）</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4、施工分包合同无效的认定及典型案例分析</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5、施工合同无效如何结算及典型案例分析</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6、施工合同责任如何承担及具体实务建议</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7、合适的保护实际施工人的问题及具体实务建议</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8、工程变更及意外事件带来的风险及其防范</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9、工程签证流程、签证内容及签证的技巧</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10、工程索赔程序的具体操作以及索赔技巧</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11、工程转包、分包的法律风险及防范措施</w:t>
      </w:r>
    </w:p>
    <w:p>
      <w:pPr>
        <w:spacing w:line="400" w:lineRule="exact"/>
        <w:ind w:firstLine="560" w:firstLineChars="200"/>
        <w:rPr>
          <w:rFonts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12、收尾总结</w:t>
      </w:r>
    </w:p>
    <w:p>
      <w:pPr>
        <w:spacing w:line="400" w:lineRule="exact"/>
        <w:jc w:val="left"/>
        <w:rPr>
          <w:rFonts w:ascii="仿宋" w:hAnsi="仿宋" w:eastAsia="仿宋" w:cs="仿宋"/>
          <w:b/>
          <w:bCs/>
          <w:sz w:val="28"/>
          <w:szCs w:val="28"/>
        </w:rPr>
      </w:pPr>
      <w:r>
        <w:rPr>
          <w:rFonts w:hint="eastAsia" w:ascii="仿宋" w:hAnsi="仿宋" w:eastAsia="仿宋" w:cs="仿宋"/>
          <w:b/>
          <w:color w:val="000000" w:themeColor="text1"/>
          <w:sz w:val="28"/>
          <w:szCs w:val="28"/>
          <w14:textFill>
            <w14:solidFill>
              <w14:schemeClr w14:val="tx1"/>
            </w14:solidFill>
          </w14:textFill>
        </w:rPr>
        <w:t>第三部分：</w:t>
      </w:r>
      <w:r>
        <w:rPr>
          <w:rFonts w:hint="eastAsia" w:ascii="仿宋" w:hAnsi="仿宋" w:eastAsia="仿宋" w:cs="仿宋"/>
          <w:b/>
          <w:bCs/>
          <w:spacing w:val="1"/>
          <w:sz w:val="28"/>
          <w:szCs w:val="28"/>
        </w:rPr>
        <w:t>工程项目投资管控理论与实务专题—工程项</w:t>
      </w:r>
      <w:r>
        <w:rPr>
          <w:rFonts w:hint="eastAsia" w:ascii="仿宋" w:hAnsi="仿宋" w:eastAsia="仿宋" w:cs="仿宋"/>
          <w:b/>
          <w:bCs/>
          <w:sz w:val="28"/>
          <w:szCs w:val="28"/>
        </w:rPr>
        <w:t xml:space="preserve">目控制总论  </w:t>
      </w:r>
    </w:p>
    <w:p>
      <w:pPr>
        <w:spacing w:line="400" w:lineRule="exact"/>
        <w:ind w:firstLine="249" w:firstLineChars="100"/>
        <w:jc w:val="left"/>
        <w:outlineLvl w:val="0"/>
        <w:rPr>
          <w:rFonts w:ascii="仿宋" w:hAnsi="仿宋" w:eastAsia="仿宋" w:cs="仿宋"/>
          <w:b/>
          <w:bCs/>
          <w:sz w:val="28"/>
          <w:szCs w:val="28"/>
        </w:rPr>
      </w:pPr>
      <w:r>
        <w:rPr>
          <w:rFonts w:hint="eastAsia" w:ascii="仿宋" w:hAnsi="仿宋" w:eastAsia="仿宋" w:cs="仿宋"/>
          <w:b/>
          <w:bCs/>
          <w:spacing w:val="-16"/>
          <w:sz w:val="28"/>
          <w:szCs w:val="28"/>
        </w:rPr>
        <w:t>一</w:t>
      </w:r>
      <w:r>
        <w:rPr>
          <w:rFonts w:hint="eastAsia" w:ascii="仿宋" w:hAnsi="仿宋" w:eastAsia="仿宋" w:cs="仿宋"/>
          <w:b/>
          <w:bCs/>
          <w:spacing w:val="-13"/>
          <w:sz w:val="28"/>
          <w:szCs w:val="28"/>
        </w:rPr>
        <w:t>、</w:t>
      </w:r>
      <w:r>
        <w:rPr>
          <w:rFonts w:hint="eastAsia" w:ascii="仿宋" w:hAnsi="仿宋" w:eastAsia="仿宋" w:cs="仿宋"/>
          <w:b/>
          <w:bCs/>
          <w:spacing w:val="-8"/>
          <w:sz w:val="28"/>
          <w:szCs w:val="28"/>
        </w:rPr>
        <w:t>项目前期的投资控制焦点问题</w:t>
      </w:r>
    </w:p>
    <w:p>
      <w:pPr>
        <w:tabs>
          <w:tab w:val="left" w:pos="585"/>
        </w:tabs>
        <w:spacing w:line="400" w:lineRule="exact"/>
        <w:ind w:firstLine="294" w:firstLineChars="100"/>
        <w:jc w:val="left"/>
        <w:rPr>
          <w:rFonts w:ascii="仿宋" w:hAnsi="仿宋" w:eastAsia="仿宋" w:cs="仿宋"/>
          <w:sz w:val="28"/>
          <w:szCs w:val="28"/>
        </w:rPr>
      </w:pPr>
      <w:r>
        <w:rPr>
          <w:rFonts w:hint="eastAsia" w:ascii="仿宋" w:hAnsi="仿宋" w:eastAsia="仿宋" w:cs="仿宋"/>
          <w:spacing w:val="7"/>
          <w:sz w:val="28"/>
          <w:szCs w:val="28"/>
        </w:rPr>
        <w:t>1、可研阶段投资控制的 3 个关键问题</w:t>
      </w:r>
    </w:p>
    <w:p>
      <w:pPr>
        <w:numPr>
          <w:ilvl w:val="0"/>
          <w:numId w:val="1"/>
        </w:numPr>
        <w:spacing w:line="400" w:lineRule="exact"/>
        <w:ind w:firstLine="416" w:firstLineChars="151"/>
        <w:jc w:val="left"/>
        <w:rPr>
          <w:rFonts w:ascii="仿宋" w:hAnsi="仿宋" w:eastAsia="仿宋" w:cs="仿宋"/>
          <w:sz w:val="28"/>
          <w:szCs w:val="28"/>
        </w:rPr>
      </w:pPr>
      <w:r>
        <w:rPr>
          <w:rFonts w:hint="eastAsia" w:ascii="仿宋" w:hAnsi="仿宋" w:eastAsia="仿宋" w:cs="仿宋"/>
          <w:spacing w:val="-2"/>
          <w:sz w:val="28"/>
          <w:szCs w:val="28"/>
        </w:rPr>
        <w:t>融资模式“新”选择</w:t>
      </w:r>
    </w:p>
    <w:p>
      <w:pPr>
        <w:numPr>
          <w:ilvl w:val="0"/>
          <w:numId w:val="1"/>
        </w:numPr>
        <w:spacing w:line="400" w:lineRule="exact"/>
        <w:ind w:firstLine="416" w:firstLineChars="151"/>
        <w:jc w:val="left"/>
        <w:rPr>
          <w:rFonts w:ascii="仿宋" w:hAnsi="仿宋" w:eastAsia="仿宋" w:cs="仿宋"/>
          <w:sz w:val="28"/>
          <w:szCs w:val="28"/>
        </w:rPr>
      </w:pPr>
      <w:r>
        <w:rPr>
          <w:rFonts w:hint="eastAsia" w:ascii="仿宋" w:hAnsi="仿宋" w:eastAsia="仿宋" w:cs="仿宋"/>
          <w:spacing w:val="-2"/>
          <w:sz w:val="28"/>
          <w:szCs w:val="28"/>
        </w:rPr>
        <w:t>项目选</w:t>
      </w:r>
      <w:r>
        <w:rPr>
          <w:rFonts w:hint="eastAsia" w:ascii="仿宋" w:hAnsi="仿宋" w:eastAsia="仿宋" w:cs="仿宋"/>
          <w:spacing w:val="-1"/>
          <w:sz w:val="28"/>
          <w:szCs w:val="28"/>
        </w:rPr>
        <w:t>址决策</w:t>
      </w:r>
    </w:p>
    <w:p>
      <w:pPr>
        <w:numPr>
          <w:ilvl w:val="0"/>
          <w:numId w:val="1"/>
        </w:numPr>
        <w:spacing w:line="400" w:lineRule="exact"/>
        <w:ind w:firstLine="416" w:firstLineChars="151"/>
        <w:jc w:val="left"/>
        <w:rPr>
          <w:rFonts w:ascii="仿宋" w:hAnsi="仿宋" w:eastAsia="仿宋" w:cs="仿宋"/>
          <w:sz w:val="28"/>
          <w:szCs w:val="28"/>
        </w:rPr>
      </w:pPr>
      <w:r>
        <w:rPr>
          <w:rFonts w:hint="eastAsia" w:ascii="仿宋" w:hAnsi="仿宋" w:eastAsia="仿宋" w:cs="仿宋"/>
          <w:spacing w:val="-2"/>
          <w:sz w:val="28"/>
          <w:szCs w:val="28"/>
        </w:rPr>
        <w:t>工艺方</w:t>
      </w:r>
      <w:r>
        <w:rPr>
          <w:rFonts w:hint="eastAsia" w:ascii="仿宋" w:hAnsi="仿宋" w:eastAsia="仿宋" w:cs="仿宋"/>
          <w:spacing w:val="-1"/>
          <w:sz w:val="28"/>
          <w:szCs w:val="28"/>
        </w:rPr>
        <w:t>案及设备选型</w:t>
      </w:r>
    </w:p>
    <w:p>
      <w:pPr>
        <w:tabs>
          <w:tab w:val="left" w:pos="585"/>
        </w:tabs>
        <w:spacing w:line="400" w:lineRule="exact"/>
        <w:ind w:firstLine="296" w:firstLineChars="100"/>
        <w:jc w:val="left"/>
        <w:rPr>
          <w:rFonts w:ascii="仿宋" w:hAnsi="仿宋" w:eastAsia="仿宋" w:cs="仿宋"/>
          <w:sz w:val="28"/>
          <w:szCs w:val="28"/>
        </w:rPr>
      </w:pPr>
      <w:r>
        <w:rPr>
          <w:rFonts w:hint="eastAsia" w:ascii="仿宋" w:hAnsi="仿宋" w:eastAsia="仿宋" w:cs="仿宋"/>
          <w:spacing w:val="8"/>
          <w:sz w:val="28"/>
          <w:szCs w:val="28"/>
        </w:rPr>
        <w:t>2、项目管理模式选择对投资控制的影响</w:t>
      </w:r>
    </w:p>
    <w:p>
      <w:pPr>
        <w:spacing w:line="400" w:lineRule="exact"/>
        <w:ind w:firstLine="279" w:firstLineChars="100"/>
        <w:jc w:val="left"/>
        <w:outlineLvl w:val="0"/>
        <w:rPr>
          <w:rFonts w:ascii="仿宋" w:hAnsi="仿宋" w:eastAsia="仿宋" w:cs="仿宋"/>
          <w:b/>
          <w:bCs/>
          <w:sz w:val="28"/>
          <w:szCs w:val="28"/>
        </w:rPr>
      </w:pPr>
      <w:r>
        <w:rPr>
          <w:rFonts w:hint="eastAsia" w:ascii="仿宋" w:hAnsi="仿宋" w:eastAsia="仿宋" w:cs="仿宋"/>
          <w:b/>
          <w:bCs/>
          <w:spacing w:val="-1"/>
          <w:sz w:val="28"/>
          <w:szCs w:val="28"/>
        </w:rPr>
        <w:t>二、项目实施阶段</w:t>
      </w:r>
      <w:r>
        <w:rPr>
          <w:rFonts w:hint="eastAsia" w:ascii="仿宋" w:hAnsi="仿宋" w:eastAsia="仿宋" w:cs="仿宋"/>
          <w:b/>
          <w:bCs/>
          <w:sz w:val="28"/>
          <w:szCs w:val="28"/>
        </w:rPr>
        <w:t>的投资控制关键问题</w:t>
      </w:r>
    </w:p>
    <w:p>
      <w:pPr>
        <w:tabs>
          <w:tab w:val="left" w:pos="585"/>
        </w:tabs>
        <w:spacing w:line="400" w:lineRule="exact"/>
        <w:ind w:firstLine="302" w:firstLineChars="100"/>
        <w:jc w:val="left"/>
        <w:rPr>
          <w:rFonts w:ascii="仿宋" w:hAnsi="仿宋" w:eastAsia="仿宋" w:cs="仿宋"/>
          <w:sz w:val="28"/>
          <w:szCs w:val="28"/>
        </w:rPr>
      </w:pPr>
      <w:r>
        <w:rPr>
          <w:rFonts w:hint="eastAsia" w:ascii="仿宋" w:hAnsi="仿宋" w:eastAsia="仿宋" w:cs="仿宋"/>
          <w:spacing w:val="11"/>
          <w:sz w:val="28"/>
          <w:szCs w:val="28"/>
        </w:rPr>
        <w:t>1、项目造价控制四大核心工</w:t>
      </w:r>
      <w:r>
        <w:rPr>
          <w:rFonts w:hint="eastAsia" w:ascii="仿宋" w:hAnsi="仿宋" w:eastAsia="仿宋" w:cs="仿宋"/>
          <w:spacing w:val="10"/>
          <w:sz w:val="28"/>
          <w:szCs w:val="28"/>
        </w:rPr>
        <w:t>具</w:t>
      </w:r>
    </w:p>
    <w:p>
      <w:pPr>
        <w:numPr>
          <w:ilvl w:val="0"/>
          <w:numId w:val="2"/>
        </w:numPr>
        <w:spacing w:line="400" w:lineRule="exact"/>
        <w:ind w:firstLine="423" w:firstLineChars="142"/>
        <w:jc w:val="left"/>
        <w:rPr>
          <w:rFonts w:ascii="仿宋" w:hAnsi="仿宋" w:eastAsia="仿宋" w:cs="仿宋"/>
          <w:sz w:val="28"/>
          <w:szCs w:val="28"/>
        </w:rPr>
      </w:pPr>
      <w:r>
        <w:rPr>
          <w:rFonts w:hint="eastAsia" w:ascii="仿宋" w:hAnsi="仿宋" w:eastAsia="仿宋" w:cs="仿宋"/>
          <w:spacing w:val="9"/>
          <w:sz w:val="28"/>
          <w:szCs w:val="28"/>
        </w:rPr>
        <w:t>全生命周期造价管理(</w:t>
      </w:r>
      <w:r>
        <w:rPr>
          <w:rFonts w:hint="eastAsia" w:ascii="仿宋" w:hAnsi="仿宋" w:eastAsia="仿宋" w:cs="仿宋"/>
          <w:sz w:val="28"/>
          <w:szCs w:val="28"/>
        </w:rPr>
        <w:t>LCC</w:t>
      </w:r>
      <w:r>
        <w:rPr>
          <w:rFonts w:hint="eastAsia" w:ascii="仿宋" w:hAnsi="仿宋" w:eastAsia="仿宋" w:cs="仿宋"/>
          <w:spacing w:val="9"/>
          <w:sz w:val="28"/>
          <w:szCs w:val="28"/>
        </w:rPr>
        <w:t>)</w:t>
      </w:r>
    </w:p>
    <w:p>
      <w:pPr>
        <w:numPr>
          <w:ilvl w:val="0"/>
          <w:numId w:val="2"/>
        </w:numPr>
        <w:spacing w:line="400" w:lineRule="exact"/>
        <w:ind w:firstLine="422" w:firstLineChars="133"/>
        <w:jc w:val="left"/>
        <w:rPr>
          <w:rFonts w:ascii="仿宋" w:hAnsi="仿宋" w:eastAsia="仿宋" w:cs="仿宋"/>
          <w:sz w:val="28"/>
          <w:szCs w:val="28"/>
        </w:rPr>
      </w:pPr>
      <w:r>
        <w:rPr>
          <w:rFonts w:hint="eastAsia" w:ascii="仿宋" w:hAnsi="仿宋" w:eastAsia="仿宋" w:cs="仿宋"/>
          <w:spacing w:val="19"/>
          <w:sz w:val="28"/>
          <w:szCs w:val="28"/>
        </w:rPr>
        <w:t>价值管理(</w:t>
      </w:r>
      <w:r>
        <w:rPr>
          <w:rFonts w:hint="eastAsia" w:ascii="仿宋" w:hAnsi="仿宋" w:eastAsia="仿宋" w:cs="仿宋"/>
          <w:sz w:val="28"/>
          <w:szCs w:val="28"/>
        </w:rPr>
        <w:t>VM</w:t>
      </w:r>
      <w:r>
        <w:rPr>
          <w:rFonts w:hint="eastAsia" w:ascii="仿宋" w:hAnsi="仿宋" w:eastAsia="仿宋" w:cs="仿宋"/>
          <w:spacing w:val="19"/>
          <w:sz w:val="28"/>
          <w:szCs w:val="28"/>
        </w:rPr>
        <w:t>)</w:t>
      </w:r>
    </w:p>
    <w:p>
      <w:pPr>
        <w:numPr>
          <w:ilvl w:val="0"/>
          <w:numId w:val="2"/>
        </w:numPr>
        <w:spacing w:line="400" w:lineRule="exact"/>
        <w:ind w:firstLine="423" w:firstLineChars="134"/>
        <w:jc w:val="left"/>
        <w:rPr>
          <w:rFonts w:ascii="仿宋" w:hAnsi="仿宋" w:eastAsia="仿宋" w:cs="仿宋"/>
          <w:sz w:val="28"/>
          <w:szCs w:val="28"/>
        </w:rPr>
      </w:pPr>
      <w:r>
        <w:rPr>
          <w:rFonts w:hint="eastAsia" w:ascii="仿宋" w:hAnsi="仿宋" w:eastAsia="仿宋" w:cs="仿宋"/>
          <w:spacing w:val="18"/>
          <w:sz w:val="28"/>
          <w:szCs w:val="28"/>
        </w:rPr>
        <w:t>可施工性(</w:t>
      </w:r>
      <w:r>
        <w:rPr>
          <w:rFonts w:hint="eastAsia" w:ascii="仿宋" w:hAnsi="仿宋" w:eastAsia="仿宋" w:cs="仿宋"/>
          <w:sz w:val="28"/>
          <w:szCs w:val="28"/>
        </w:rPr>
        <w:t>Constructability</w:t>
      </w:r>
      <w:r>
        <w:rPr>
          <w:rFonts w:hint="eastAsia" w:ascii="仿宋" w:hAnsi="仿宋" w:eastAsia="仿宋" w:cs="仿宋"/>
          <w:spacing w:val="18"/>
          <w:sz w:val="28"/>
          <w:szCs w:val="28"/>
        </w:rPr>
        <w:t>)</w:t>
      </w:r>
    </w:p>
    <w:p>
      <w:pPr>
        <w:numPr>
          <w:ilvl w:val="0"/>
          <w:numId w:val="2"/>
        </w:numPr>
        <w:spacing w:line="400" w:lineRule="exact"/>
        <w:ind w:firstLine="422" w:firstLineChars="151"/>
        <w:jc w:val="left"/>
        <w:rPr>
          <w:rFonts w:ascii="仿宋" w:hAnsi="仿宋" w:eastAsia="仿宋" w:cs="仿宋"/>
          <w:sz w:val="28"/>
          <w:szCs w:val="28"/>
        </w:rPr>
      </w:pPr>
      <w:r>
        <w:rPr>
          <w:rFonts w:hint="eastAsia" w:ascii="仿宋" w:hAnsi="仿宋" w:eastAsia="仿宋" w:cs="仿宋"/>
          <w:sz w:val="28"/>
          <w:szCs w:val="28"/>
        </w:rPr>
        <w:t>建筑信息模型(BIM)技术</w:t>
      </w:r>
    </w:p>
    <w:p>
      <w:pPr>
        <w:tabs>
          <w:tab w:val="left" w:pos="585"/>
        </w:tabs>
        <w:spacing w:line="400" w:lineRule="exact"/>
        <w:ind w:firstLine="302" w:firstLineChars="100"/>
        <w:jc w:val="left"/>
        <w:rPr>
          <w:rFonts w:ascii="仿宋" w:hAnsi="仿宋" w:eastAsia="仿宋" w:cs="仿宋"/>
          <w:spacing w:val="11"/>
          <w:sz w:val="28"/>
          <w:szCs w:val="28"/>
        </w:rPr>
      </w:pPr>
      <w:r>
        <w:rPr>
          <w:rFonts w:hint="eastAsia" w:ascii="仿宋" w:hAnsi="仿宋" w:eastAsia="仿宋" w:cs="仿宋"/>
          <w:spacing w:val="11"/>
          <w:sz w:val="28"/>
          <w:szCs w:val="28"/>
        </w:rPr>
        <w:t>2、工程价款管理 10 大热点问题</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现阶段按规定约定工程造价是适应中国市场环境的</w:t>
      </w:r>
      <w:r>
        <w:rPr>
          <w:rFonts w:hint="eastAsia" w:ascii="仿宋" w:hAnsi="仿宋" w:eastAsia="仿宋" w:cs="仿宋"/>
          <w:sz w:val="28"/>
          <w:szCs w:val="28"/>
        </w:rPr>
        <w:t>次优方案</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现行建设法规否定价格包</w:t>
      </w:r>
      <w:r>
        <w:rPr>
          <w:rFonts w:hint="eastAsia" w:ascii="仿宋" w:hAnsi="仿宋" w:eastAsia="仿宋" w:cs="仿宋"/>
          <w:sz w:val="28"/>
          <w:szCs w:val="28"/>
        </w:rPr>
        <w:t>含原则，提倡合理风险分担</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单价合同下结算工程量形成于历</w:t>
      </w:r>
      <w:r>
        <w:rPr>
          <w:rFonts w:hint="eastAsia" w:ascii="仿宋" w:hAnsi="仿宋" w:eastAsia="仿宋" w:cs="仿宋"/>
          <w:sz w:val="28"/>
          <w:szCs w:val="28"/>
        </w:rPr>
        <w:t>次期中支付的累积</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z w:val="28"/>
          <w:szCs w:val="28"/>
        </w:rPr>
        <w:t>承包人正确履行合同义务形成的工程量应予支付</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2"/>
          <w:sz w:val="28"/>
          <w:szCs w:val="28"/>
        </w:rPr>
        <w:t>违约者不受益原则及其适用范围</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基于法规适用条件下的对</w:t>
      </w:r>
      <w:r>
        <w:rPr>
          <w:rFonts w:hint="eastAsia" w:ascii="仿宋" w:hAnsi="仿宋" w:eastAsia="仿宋" w:cs="仿宋"/>
          <w:sz w:val="28"/>
          <w:szCs w:val="28"/>
        </w:rPr>
        <w:t>号入座原则</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现场签证是合同状态改</w:t>
      </w:r>
      <w:r>
        <w:rPr>
          <w:rFonts w:hint="eastAsia" w:ascii="仿宋" w:hAnsi="仿宋" w:eastAsia="仿宋" w:cs="仿宋"/>
          <w:sz w:val="28"/>
          <w:szCs w:val="28"/>
        </w:rPr>
        <w:t>变后的快速补偿机制，是合同的有力补充</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2"/>
          <w:sz w:val="28"/>
          <w:szCs w:val="28"/>
        </w:rPr>
        <w:t>从</w:t>
      </w:r>
      <w:r>
        <w:rPr>
          <w:rFonts w:hint="eastAsia" w:ascii="仿宋" w:hAnsi="仿宋" w:eastAsia="仿宋" w:cs="仿宋"/>
          <w:spacing w:val="-1"/>
          <w:sz w:val="28"/>
          <w:szCs w:val="28"/>
        </w:rPr>
        <w:t>量支付原则</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1"/>
          <w:sz w:val="28"/>
          <w:szCs w:val="28"/>
        </w:rPr>
        <w:t>总价/单价包含风险的边</w:t>
      </w:r>
      <w:r>
        <w:rPr>
          <w:rFonts w:hint="eastAsia" w:ascii="仿宋" w:hAnsi="仿宋" w:eastAsia="仿宋" w:cs="仿宋"/>
          <w:sz w:val="28"/>
          <w:szCs w:val="28"/>
        </w:rPr>
        <w:t>界原则</w:t>
      </w:r>
    </w:p>
    <w:p>
      <w:pPr>
        <w:numPr>
          <w:ilvl w:val="0"/>
          <w:numId w:val="3"/>
        </w:numPr>
        <w:spacing w:line="400" w:lineRule="exact"/>
        <w:jc w:val="left"/>
        <w:rPr>
          <w:rFonts w:ascii="仿宋" w:hAnsi="仿宋" w:eastAsia="仿宋" w:cs="仿宋"/>
          <w:sz w:val="28"/>
          <w:szCs w:val="28"/>
        </w:rPr>
      </w:pPr>
      <w:r>
        <w:rPr>
          <w:rFonts w:hint="eastAsia" w:ascii="仿宋" w:hAnsi="仿宋" w:eastAsia="仿宋" w:cs="仿宋"/>
          <w:spacing w:val="-2"/>
          <w:sz w:val="28"/>
          <w:szCs w:val="28"/>
        </w:rPr>
        <w:t>解开合同之谜的三</w:t>
      </w:r>
      <w:r>
        <w:rPr>
          <w:rFonts w:hint="eastAsia" w:ascii="仿宋" w:hAnsi="仿宋" w:eastAsia="仿宋" w:cs="仿宋"/>
          <w:spacing w:val="-1"/>
          <w:sz w:val="28"/>
          <w:szCs w:val="28"/>
        </w:rPr>
        <w:t>把钥匙</w:t>
      </w:r>
    </w:p>
    <w:p>
      <w:pPr>
        <w:spacing w:line="400" w:lineRule="exact"/>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第四部分：EPC 项目投资管控理论专题—EPC 投资管控八大利器  </w:t>
      </w:r>
    </w:p>
    <w:p>
      <w:pPr>
        <w:spacing w:line="400" w:lineRule="exact"/>
        <w:ind w:firstLine="253" w:firstLineChars="100"/>
        <w:jc w:val="left"/>
        <w:outlineLvl w:val="0"/>
        <w:rPr>
          <w:rFonts w:ascii="仿宋" w:hAnsi="仿宋" w:eastAsia="仿宋" w:cs="仿宋"/>
          <w:b/>
          <w:bCs/>
          <w:sz w:val="28"/>
          <w:szCs w:val="28"/>
        </w:rPr>
      </w:pPr>
      <w:r>
        <w:rPr>
          <w:rFonts w:hint="eastAsia" w:ascii="仿宋" w:hAnsi="仿宋" w:eastAsia="仿宋" w:cs="仿宋"/>
          <w:b/>
          <w:bCs/>
          <w:spacing w:val="-14"/>
          <w:sz w:val="28"/>
          <w:szCs w:val="28"/>
        </w:rPr>
        <w:t>一、</w:t>
      </w:r>
      <w:r>
        <w:rPr>
          <w:rFonts w:hint="eastAsia" w:ascii="仿宋" w:hAnsi="仿宋" w:eastAsia="仿宋" w:cs="仿宋"/>
          <w:b/>
          <w:bCs/>
          <w:spacing w:val="-7"/>
          <w:sz w:val="28"/>
          <w:szCs w:val="28"/>
        </w:rPr>
        <w:t>EPC 项目投资管控的八大利器</w:t>
      </w:r>
    </w:p>
    <w:p>
      <w:pPr>
        <w:spacing w:line="400" w:lineRule="exact"/>
        <w:ind w:firstLine="262" w:firstLineChars="100"/>
        <w:jc w:val="left"/>
        <w:rPr>
          <w:rFonts w:ascii="仿宋" w:hAnsi="仿宋" w:eastAsia="仿宋" w:cs="仿宋"/>
          <w:sz w:val="28"/>
          <w:szCs w:val="28"/>
        </w:rPr>
      </w:pPr>
      <w:r>
        <w:rPr>
          <w:rFonts w:hint="eastAsia" w:ascii="仿宋" w:hAnsi="仿宋" w:eastAsia="仿宋" w:cs="仿宋"/>
          <w:spacing w:val="-9"/>
          <w:sz w:val="28"/>
          <w:szCs w:val="28"/>
        </w:rPr>
        <w:t>1、“发包人要求”配合总价合同</w:t>
      </w:r>
    </w:p>
    <w:p>
      <w:pPr>
        <w:spacing w:line="400" w:lineRule="exact"/>
        <w:ind w:firstLine="276" w:firstLineChars="100"/>
        <w:jc w:val="left"/>
        <w:rPr>
          <w:rFonts w:ascii="仿宋" w:hAnsi="仿宋" w:eastAsia="仿宋" w:cs="仿宋"/>
          <w:sz w:val="28"/>
          <w:szCs w:val="28"/>
        </w:rPr>
      </w:pPr>
      <w:r>
        <w:rPr>
          <w:rFonts w:hint="eastAsia" w:ascii="仿宋" w:hAnsi="仿宋" w:eastAsia="仿宋" w:cs="仿宋"/>
          <w:spacing w:val="-2"/>
          <w:sz w:val="28"/>
          <w:szCs w:val="28"/>
        </w:rPr>
        <w:t>2、模拟工程量清单配合单价合同</w:t>
      </w:r>
    </w:p>
    <w:p>
      <w:pPr>
        <w:spacing w:line="400" w:lineRule="exact"/>
        <w:ind w:firstLine="278" w:firstLineChars="100"/>
        <w:jc w:val="left"/>
        <w:rPr>
          <w:rFonts w:ascii="仿宋" w:hAnsi="仿宋" w:eastAsia="仿宋" w:cs="仿宋"/>
          <w:sz w:val="28"/>
          <w:szCs w:val="28"/>
        </w:rPr>
      </w:pPr>
      <w:r>
        <w:rPr>
          <w:rFonts w:hint="eastAsia" w:ascii="仿宋" w:hAnsi="仿宋" w:eastAsia="仿宋" w:cs="仿宋"/>
          <w:spacing w:val="-1"/>
          <w:sz w:val="28"/>
          <w:szCs w:val="28"/>
        </w:rPr>
        <w:t>3、总价合同采用里程碑支付、单价按里程碑从量支付</w:t>
      </w:r>
    </w:p>
    <w:p>
      <w:pPr>
        <w:spacing w:line="400" w:lineRule="exact"/>
        <w:ind w:firstLine="270" w:firstLineChars="100"/>
        <w:jc w:val="left"/>
        <w:rPr>
          <w:rFonts w:ascii="仿宋" w:hAnsi="仿宋" w:eastAsia="仿宋" w:cs="仿宋"/>
          <w:sz w:val="28"/>
          <w:szCs w:val="28"/>
        </w:rPr>
      </w:pPr>
      <w:r>
        <w:rPr>
          <w:rFonts w:hint="eastAsia" w:ascii="仿宋" w:hAnsi="仿宋" w:eastAsia="仿宋" w:cs="仿宋"/>
          <w:spacing w:val="-5"/>
          <w:sz w:val="28"/>
          <w:szCs w:val="28"/>
        </w:rPr>
        <w:t>4、EPC 两段式设计：标前设计可变更，标后设计无变更</w:t>
      </w:r>
    </w:p>
    <w:p>
      <w:pPr>
        <w:spacing w:line="400" w:lineRule="exact"/>
        <w:ind w:firstLine="276" w:firstLineChars="100"/>
        <w:jc w:val="left"/>
        <w:rPr>
          <w:rFonts w:ascii="仿宋" w:hAnsi="仿宋" w:eastAsia="仿宋" w:cs="仿宋"/>
          <w:sz w:val="28"/>
          <w:szCs w:val="28"/>
        </w:rPr>
      </w:pPr>
      <w:r>
        <w:rPr>
          <w:rFonts w:hint="eastAsia" w:ascii="仿宋" w:hAnsi="仿宋" w:eastAsia="仿宋" w:cs="仿宋"/>
          <w:spacing w:val="-2"/>
          <w:sz w:val="28"/>
          <w:szCs w:val="28"/>
        </w:rPr>
        <w:t>5、任</w:t>
      </w:r>
      <w:r>
        <w:rPr>
          <w:rFonts w:hint="eastAsia" w:ascii="仿宋" w:hAnsi="仿宋" w:eastAsia="仿宋" w:cs="仿宋"/>
          <w:spacing w:val="-1"/>
          <w:sz w:val="28"/>
          <w:szCs w:val="28"/>
        </w:rPr>
        <w:t>何业主的改变均需向总承包商支付对价</w:t>
      </w:r>
    </w:p>
    <w:p>
      <w:pPr>
        <w:spacing w:line="400" w:lineRule="exact"/>
        <w:ind w:left="279" w:leftChars="133"/>
        <w:jc w:val="left"/>
        <w:rPr>
          <w:rFonts w:ascii="仿宋" w:hAnsi="仿宋" w:eastAsia="仿宋" w:cs="仿宋"/>
          <w:sz w:val="28"/>
          <w:szCs w:val="28"/>
        </w:rPr>
      </w:pPr>
      <w:r>
        <w:rPr>
          <w:rFonts w:hint="eastAsia" w:ascii="仿宋" w:hAnsi="仿宋" w:eastAsia="仿宋" w:cs="仿宋"/>
          <w:spacing w:val="-18"/>
          <w:sz w:val="28"/>
          <w:szCs w:val="28"/>
        </w:rPr>
        <w:t>6、坚</w:t>
      </w:r>
      <w:r>
        <w:rPr>
          <w:rFonts w:hint="eastAsia" w:ascii="仿宋" w:hAnsi="仿宋" w:eastAsia="仿宋" w:cs="仿宋"/>
          <w:spacing w:val="-10"/>
          <w:sz w:val="28"/>
          <w:szCs w:val="28"/>
        </w:rPr>
        <w:t>持标前下达设计限额， 鼓励标前设计优化， 限制标后设计优化， 未经批</w:t>
      </w:r>
      <w:r>
        <w:rPr>
          <w:rFonts w:hint="eastAsia" w:ascii="仿宋" w:hAnsi="仿宋" w:eastAsia="仿宋" w:cs="仿宋"/>
          <w:spacing w:val="-1"/>
          <w:sz w:val="28"/>
          <w:szCs w:val="28"/>
        </w:rPr>
        <w:t>准的标后优化</w:t>
      </w:r>
      <w:r>
        <w:rPr>
          <w:rFonts w:hint="eastAsia" w:ascii="仿宋" w:hAnsi="仿宋" w:eastAsia="仿宋" w:cs="仿宋"/>
          <w:sz w:val="28"/>
          <w:szCs w:val="28"/>
        </w:rPr>
        <w:t>均为违约行为</w:t>
      </w:r>
    </w:p>
    <w:p>
      <w:pPr>
        <w:spacing w:line="400" w:lineRule="exact"/>
        <w:ind w:firstLine="278" w:firstLineChars="100"/>
        <w:jc w:val="left"/>
        <w:rPr>
          <w:rFonts w:ascii="仿宋" w:hAnsi="仿宋" w:eastAsia="仿宋" w:cs="仿宋"/>
          <w:sz w:val="28"/>
          <w:szCs w:val="28"/>
        </w:rPr>
      </w:pPr>
      <w:r>
        <w:rPr>
          <w:rFonts w:hint="eastAsia" w:ascii="仿宋" w:hAnsi="仿宋" w:eastAsia="仿宋" w:cs="仿宋"/>
          <w:spacing w:val="-1"/>
          <w:sz w:val="28"/>
          <w:szCs w:val="28"/>
        </w:rPr>
        <w:t>7、总价无审核但应交付合格功能后支付，单价</w:t>
      </w:r>
      <w:r>
        <w:rPr>
          <w:rFonts w:hint="eastAsia" w:ascii="仿宋" w:hAnsi="仿宋" w:eastAsia="仿宋" w:cs="仿宋"/>
          <w:sz w:val="28"/>
          <w:szCs w:val="28"/>
        </w:rPr>
        <w:t>按周期从量支付</w:t>
      </w:r>
    </w:p>
    <w:p>
      <w:pPr>
        <w:spacing w:line="400" w:lineRule="exact"/>
        <w:ind w:firstLine="270" w:firstLineChars="100"/>
        <w:jc w:val="left"/>
        <w:rPr>
          <w:rFonts w:ascii="仿宋" w:hAnsi="仿宋" w:eastAsia="仿宋" w:cs="仿宋"/>
          <w:sz w:val="28"/>
          <w:szCs w:val="28"/>
        </w:rPr>
      </w:pPr>
      <w:r>
        <w:rPr>
          <w:rFonts w:hint="eastAsia" w:ascii="仿宋" w:hAnsi="仿宋" w:eastAsia="仿宋" w:cs="仿宋"/>
          <w:spacing w:val="-5"/>
          <w:sz w:val="28"/>
          <w:szCs w:val="28"/>
        </w:rPr>
        <w:t>8、EPC 模式价格清单投标人应在编制价格清单时确保准确完整</w:t>
      </w:r>
    </w:p>
    <w:p>
      <w:pPr>
        <w:spacing w:line="400" w:lineRule="exact"/>
        <w:outlineLvl w:val="2"/>
        <w:rPr>
          <w:rFonts w:ascii="仿宋" w:hAnsi="仿宋" w:eastAsia="仿宋" w:cs="仿宋"/>
          <w:b/>
          <w:bCs/>
          <w:spacing w:val="-1"/>
          <w:sz w:val="28"/>
          <w:szCs w:val="28"/>
        </w:rPr>
      </w:pPr>
      <w:r>
        <w:rPr>
          <w:rFonts w:hint="eastAsia" w:ascii="仿宋" w:hAnsi="仿宋" w:eastAsia="仿宋" w:cs="仿宋"/>
          <w:b/>
          <w:bCs/>
          <w:spacing w:val="-1"/>
          <w:sz w:val="28"/>
          <w:szCs w:val="28"/>
        </w:rPr>
        <w:t>第五部分：工程造价纠纷解决思路与案例分析</w:t>
      </w:r>
    </w:p>
    <w:p>
      <w:pPr>
        <w:spacing w:line="400" w:lineRule="exact"/>
        <w:ind w:firstLine="279" w:firstLineChars="100"/>
        <w:jc w:val="left"/>
        <w:rPr>
          <w:rFonts w:ascii="仿宋" w:hAnsi="仿宋" w:eastAsia="仿宋" w:cs="仿宋"/>
          <w:b/>
          <w:bCs/>
          <w:spacing w:val="-1"/>
          <w:sz w:val="28"/>
          <w:szCs w:val="28"/>
        </w:rPr>
      </w:pPr>
      <w:r>
        <w:rPr>
          <w:rFonts w:hint="eastAsia" w:ascii="仿宋" w:hAnsi="仿宋" w:eastAsia="仿宋" w:cs="仿宋"/>
          <w:b/>
          <w:bCs/>
          <w:spacing w:val="-1"/>
          <w:sz w:val="28"/>
          <w:szCs w:val="28"/>
        </w:rPr>
        <w:t>一、招投标环节造价法律风险管控</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1、如何理解投标下浮率和定额下浮率</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2、投标文件完全没有响应招标文件却中标如何结算</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3、投标人主动补充的措施项目如何结算</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4、招标方能否通过清标删除招标清单项目</w:t>
      </w:r>
    </w:p>
    <w:p>
      <w:pPr>
        <w:spacing w:line="400" w:lineRule="exact"/>
        <w:ind w:firstLine="279" w:firstLineChars="100"/>
        <w:jc w:val="left"/>
        <w:rPr>
          <w:rFonts w:ascii="仿宋" w:hAnsi="仿宋" w:eastAsia="仿宋" w:cs="仿宋"/>
          <w:b/>
          <w:bCs/>
          <w:spacing w:val="-1"/>
          <w:sz w:val="28"/>
          <w:szCs w:val="28"/>
        </w:rPr>
      </w:pPr>
      <w:r>
        <w:rPr>
          <w:rFonts w:hint="eastAsia" w:ascii="仿宋" w:hAnsi="仿宋" w:eastAsia="仿宋" w:cs="仿宋"/>
          <w:b/>
          <w:bCs/>
          <w:spacing w:val="-1"/>
          <w:sz w:val="28"/>
          <w:szCs w:val="28"/>
        </w:rPr>
        <w:t>二、合同履行过程中常见造价争议纠纷</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1、超限额设计的预算评审价能否作为结算价</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2、如何区分施工图总价和清单总价的计价原则</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3、如何理解平方米单价、综合单价、固定单价等概念</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4、综合单价可否要求考虑不可预见的风险</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5、调整施工方案是否需要重新考虑措施费</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6、未完工程的临时设施费如何计算</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7、市场价格波动调差时的材料范围如何认定</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8、承包人出售施工现场地下挖砂时如何结算</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9、信息价结算与认质认价的关系</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10、能否约定任何设计变更下均不调整措施费</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11、施工方能否依据错误的清单不按实结算</w:t>
      </w:r>
    </w:p>
    <w:p>
      <w:pPr>
        <w:spacing w:line="40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12、能否将暗塘淤泥能否纳入承包人自行考虑范围</w:t>
      </w:r>
    </w:p>
    <w:p>
      <w:pPr>
        <w:spacing w:line="44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13、重复列项时应如何结算</w:t>
      </w:r>
    </w:p>
    <w:p>
      <w:pPr>
        <w:spacing w:line="440" w:lineRule="exact"/>
        <w:ind w:firstLine="278" w:firstLineChars="100"/>
        <w:jc w:val="left"/>
        <w:rPr>
          <w:rFonts w:ascii="仿宋" w:hAnsi="仿宋" w:eastAsia="仿宋" w:cs="仿宋"/>
          <w:spacing w:val="-1"/>
          <w:sz w:val="28"/>
          <w:szCs w:val="28"/>
        </w:rPr>
      </w:pPr>
      <w:r>
        <w:rPr>
          <w:rFonts w:hint="eastAsia" w:ascii="仿宋" w:hAnsi="仿宋" w:eastAsia="仿宋" w:cs="仿宋"/>
          <w:spacing w:val="-1"/>
          <w:sz w:val="28"/>
          <w:szCs w:val="28"/>
        </w:rPr>
        <w:t>14、发包人针对不平衡报价的处理办法</w:t>
      </w:r>
    </w:p>
    <w:p>
      <w:pPr>
        <w:spacing w:line="440" w:lineRule="exact"/>
        <w:rPr>
          <w:rFonts w:ascii="仿宋" w:hAnsi="仿宋" w:eastAsia="仿宋" w:cs="仿宋"/>
          <w:sz w:val="28"/>
          <w:szCs w:val="28"/>
        </w:rPr>
      </w:pPr>
      <w:r>
        <w:rPr>
          <w:rFonts w:hint="eastAsia" w:ascii="仿宋" w:hAnsi="仿宋" w:eastAsia="仿宋" w:cs="仿宋"/>
          <w:b/>
          <w:bCs/>
          <w:spacing w:val="-1"/>
          <w:sz w:val="28"/>
          <w:szCs w:val="28"/>
        </w:rPr>
        <w:t xml:space="preserve">第六部分：全过程工程咨询控制要点与操作实务   </w:t>
      </w:r>
      <w:r>
        <w:rPr>
          <w:rFonts w:hint="eastAsia" w:ascii="仿宋" w:hAnsi="仿宋" w:eastAsia="仿宋" w:cs="仿宋"/>
          <w:sz w:val="28"/>
          <w:szCs w:val="28"/>
        </w:rPr>
        <w:t xml:space="preserve">       </w:t>
      </w:r>
    </w:p>
    <w:p>
      <w:pPr>
        <w:widowControl/>
        <w:spacing w:line="440" w:lineRule="exact"/>
        <w:ind w:left="42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一、全过程工程咨询公司开展对于设计施工总承包管理服务实操</w:t>
      </w:r>
    </w:p>
    <w:p>
      <w:pPr>
        <w:pStyle w:val="10"/>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1、当前市场上并行推行全过程工程咨询总承包存在的主要问题；</w:t>
      </w:r>
    </w:p>
    <w:p>
      <w:pPr>
        <w:pStyle w:val="10"/>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2、当前市场上关于“全过程工程咨询公司”管理“设计施工总承包”的强烈需求；</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3、如何进行设计施工总承包的招标和发包；</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4、如何对EPC项目进行工程规划、工程勘察与设计的管理（做法和案例）；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5、如何结合两个“积极推广”最新法规对于EPC项目整合项目管理、采购和施工管理（做法和案例）；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6、如何结合两个“积极推广”最新法规整合投资咨询、代理招标、工程监理和造价咨询服务（做法和案例）；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7、全过程工程咨询服务中如何整合项目运行维护管理服务（做法和案例）。</w:t>
      </w:r>
    </w:p>
    <w:p>
      <w:pPr>
        <w:pStyle w:val="10"/>
        <w:shd w:val="clear" w:color="auto" w:fill="FFFFFF"/>
        <w:spacing w:before="0" w:beforeAutospacing="0" w:after="0" w:afterAutospacing="0" w:line="420" w:lineRule="exact"/>
        <w:ind w:firstLine="562"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二、全过程工程咨询公司管理EPC的组织、管理、法律、经济及技术理论实务</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1、全过程工程咨询负责人领导力、组织机构和团队建设（做法和案例）；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2、全过程工程咨询组织协调中对于EPC质量进度成本管理的整合管理和范围管理（做法和案例）；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3、全过程工程咨询公司对于EPC项目中与相关人的沟通管理（做法和案例）；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4、EPC项目的冲突管理特点及争端解决、商务谈判、突发事故处理以及公关危机处理（做法和案例）；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5、EPC项目特有的设计施工深度融合、平行搭接下的价值工程分析和风险管理（做法和案例）；</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6、全过程工程咨询中当前困惑的如何处理最新版EPC合同管理（解读和案例）。</w:t>
      </w:r>
    </w:p>
    <w:p>
      <w:pPr>
        <w:pStyle w:val="10"/>
        <w:shd w:val="clear" w:color="auto" w:fill="FFFFFF"/>
        <w:spacing w:before="0" w:beforeAutospacing="0" w:after="0" w:afterAutospacing="0" w:line="420" w:lineRule="exact"/>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三、建筑师主导的全过程工程咨询管理实务</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1、发改委、住建部最新515号文关于建筑师负责制的规定；</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2、住建部关于建筑师负责制的7阶段实操；</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3、雄安、上海、深圳、福建各地试点情况；</w:t>
      </w:r>
    </w:p>
    <w:p>
      <w:pPr>
        <w:pStyle w:val="10"/>
        <w:shd w:val="clear" w:color="auto" w:fill="FFFFFF"/>
        <w:spacing w:before="0" w:beforeAutospacing="0" w:after="0" w:afterAutospacing="0" w:line="42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4、将来的趋势。</w:t>
      </w:r>
    </w:p>
    <w:p>
      <w:pPr>
        <w:widowControl/>
        <w:spacing w:line="400" w:lineRule="exact"/>
        <w:ind w:firstLine="281" w:firstLineChars="100"/>
        <w:rPr>
          <w:rFonts w:ascii="仿宋" w:hAnsi="仿宋" w:eastAsia="仿宋" w:cs="仿宋"/>
          <w:b/>
          <w:bCs/>
          <w:color w:val="000000"/>
          <w:sz w:val="28"/>
          <w:szCs w:val="28"/>
        </w:rPr>
      </w:pPr>
      <w:r>
        <w:rPr>
          <w:rFonts w:hint="eastAsia" w:ascii="仿宋" w:hAnsi="仿宋" w:eastAsia="仿宋" w:cs="仿宋"/>
          <w:b/>
          <w:bCs/>
          <w:color w:val="000000"/>
          <w:sz w:val="28"/>
          <w:szCs w:val="28"/>
        </w:rPr>
        <w:t>四、基于BIM的全过程工程咨询</w:t>
      </w:r>
    </w:p>
    <w:p>
      <w:pPr>
        <w:widowControl/>
        <w:spacing w:line="40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1、BIM的基本原理与实施体系设计（组织、人员、软硬件、标准）</w:t>
      </w:r>
    </w:p>
    <w:p>
      <w:pPr>
        <w:widowControl/>
        <w:spacing w:line="40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2、基于BIM的全过程工程咨询逻辑架构</w:t>
      </w:r>
    </w:p>
    <w:p>
      <w:pPr>
        <w:widowControl/>
        <w:spacing w:line="40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3、全过程工程咨询各阶段BIM解决方案</w:t>
      </w:r>
    </w:p>
    <w:p>
      <w:pPr>
        <w:widowControl/>
        <w:spacing w:line="400" w:lineRule="exact"/>
        <w:ind w:firstLine="280" w:firstLineChars="100"/>
        <w:rPr>
          <w:rFonts w:ascii="仿宋" w:hAnsi="仿宋" w:eastAsia="仿宋" w:cs="仿宋"/>
        </w:rPr>
      </w:pPr>
      <w:r>
        <w:rPr>
          <w:rFonts w:hint="eastAsia" w:ascii="仿宋" w:hAnsi="仿宋" w:eastAsia="仿宋" w:cs="仿宋"/>
          <w:color w:val="000000"/>
          <w:sz w:val="28"/>
          <w:szCs w:val="28"/>
        </w:rPr>
        <w:t>4、以数据为核心的全过程工程咨询BIM平台建设</w:t>
      </w:r>
    </w:p>
    <w:p>
      <w:pPr>
        <w:pStyle w:val="2"/>
      </w:pPr>
    </w:p>
    <w:p>
      <w:pPr>
        <w:jc w:val="center"/>
        <w:rPr>
          <w:rFonts w:ascii="仿宋" w:hAnsi="仿宋" w:eastAsia="仿宋" w:cs="宋体"/>
          <w:b/>
          <w:snapToGrid w:val="0"/>
          <w:color w:val="000000"/>
          <w:kern w:val="20"/>
          <w:position w:val="-4"/>
          <w:sz w:val="30"/>
          <w:szCs w:val="30"/>
        </w:rPr>
      </w:pPr>
    </w:p>
    <w:p>
      <w:pPr>
        <w:jc w:val="center"/>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pStyle w:val="2"/>
        <w:ind w:firstLine="602"/>
        <w:rPr>
          <w:rFonts w:ascii="仿宋" w:hAnsi="仿宋" w:eastAsia="仿宋" w:cs="宋体"/>
          <w:b/>
          <w:snapToGrid w:val="0"/>
          <w:color w:val="000000"/>
          <w:kern w:val="20"/>
          <w:position w:val="-4"/>
          <w:sz w:val="30"/>
          <w:szCs w:val="30"/>
        </w:rPr>
      </w:pPr>
    </w:p>
    <w:p>
      <w:pPr>
        <w:jc w:val="center"/>
        <w:rPr>
          <w:rFonts w:ascii="仿宋" w:hAnsi="仿宋" w:eastAsia="仿宋" w:cs="宋体"/>
          <w:b/>
          <w:snapToGrid w:val="0"/>
          <w:color w:val="000000"/>
          <w:kern w:val="20"/>
          <w:position w:val="-4"/>
          <w:sz w:val="30"/>
          <w:szCs w:val="30"/>
        </w:rPr>
      </w:pPr>
    </w:p>
    <w:p>
      <w:pPr>
        <w:jc w:val="center"/>
        <w:rPr>
          <w:rFonts w:ascii="仿宋" w:hAnsi="仿宋" w:eastAsia="仿宋" w:cs="宋体"/>
          <w:b/>
          <w:snapToGrid w:val="0"/>
          <w:color w:val="000000"/>
          <w:kern w:val="20"/>
          <w:position w:val="-4"/>
          <w:sz w:val="30"/>
          <w:szCs w:val="30"/>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EPC项目招投标、索赔、工程项目投资管控、造价纠纷解决对策与全过程工程咨询实务高级培训班报名表</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《工程总包项目经理》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《合同经理》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《设计经理》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收款信息</w:t>
            </w:r>
          </w:p>
        </w:tc>
        <w:tc>
          <w:tcPr>
            <w:tcW w:w="8159" w:type="dxa"/>
            <w:gridSpan w:val="5"/>
          </w:tcPr>
          <w:p>
            <w:pPr>
              <w:spacing w:line="360" w:lineRule="exact"/>
              <w:ind w:right="-147" w:rightChars="-70"/>
              <w:jc w:val="left"/>
              <w:rPr>
                <w:rFonts w:ascii="仿宋" w:hAnsi="仿宋" w:eastAsia="仿宋" w:cs="仿宋"/>
                <w:bCs/>
                <w:sz w:val="24"/>
                <w:szCs w:val="24"/>
                <w:lang w:val="zh-CN"/>
              </w:rPr>
            </w:pPr>
            <w:r>
              <w:rPr>
                <w:rFonts w:hint="eastAsia" w:ascii="仿宋" w:hAnsi="仿宋" w:eastAsia="仿宋" w:cs="仿宋"/>
                <w:bCs/>
                <w:sz w:val="24"/>
                <w:szCs w:val="24"/>
                <w:lang w:val="zh-CN"/>
              </w:rPr>
              <w:t>单位全称:</w:t>
            </w:r>
            <w:r>
              <w:rPr>
                <w:rFonts w:hint="eastAsia" w:ascii="仿宋" w:hAnsi="仿宋" w:eastAsia="仿宋" w:cs="仿宋"/>
                <w:bCs/>
                <w:sz w:val="24"/>
                <w:szCs w:val="24"/>
                <w:lang w:val="zh-CN"/>
              </w:rPr>
              <w:tab/>
            </w:r>
            <w:r>
              <w:rPr>
                <w:rFonts w:hint="eastAsia" w:ascii="仿宋" w:hAnsi="仿宋" w:eastAsia="仿宋" w:cs="仿宋"/>
                <w:bCs/>
                <w:sz w:val="24"/>
                <w:szCs w:val="24"/>
                <w:lang w:val="zh-CN"/>
              </w:rPr>
              <w:t>北京中科善若教育咨询有限公司</w:t>
            </w:r>
          </w:p>
          <w:p>
            <w:pPr>
              <w:spacing w:line="360" w:lineRule="exact"/>
              <w:ind w:right="-147" w:rightChars="-70"/>
              <w:jc w:val="left"/>
              <w:rPr>
                <w:rFonts w:ascii="仿宋" w:hAnsi="仿宋" w:eastAsia="仿宋" w:cs="仿宋"/>
                <w:bCs/>
                <w:sz w:val="24"/>
                <w:szCs w:val="24"/>
                <w:lang w:val="zh-CN"/>
              </w:rPr>
            </w:pPr>
            <w:r>
              <w:rPr>
                <w:rFonts w:hint="eastAsia" w:ascii="仿宋" w:hAnsi="仿宋" w:eastAsia="仿宋" w:cs="仿宋"/>
                <w:bCs/>
                <w:sz w:val="24"/>
                <w:szCs w:val="24"/>
                <w:lang w:val="zh-CN"/>
              </w:rPr>
              <w:t>开 户 行：</w:t>
            </w:r>
            <w:r>
              <w:rPr>
                <w:rFonts w:hint="eastAsia" w:ascii="仿宋" w:hAnsi="仿宋" w:eastAsia="仿宋" w:cs="仿宋"/>
                <w:bCs/>
                <w:sz w:val="24"/>
                <w:szCs w:val="24"/>
                <w:lang w:val="zh-CN"/>
              </w:rPr>
              <w:tab/>
            </w:r>
            <w:r>
              <w:rPr>
                <w:rFonts w:hint="eastAsia" w:ascii="仿宋" w:hAnsi="仿宋" w:eastAsia="仿宋" w:cs="仿宋"/>
                <w:bCs/>
                <w:sz w:val="24"/>
                <w:szCs w:val="24"/>
                <w:lang w:val="zh-CN"/>
              </w:rPr>
              <w:t>中国工商银行股份有限公司北京半壁店支行</w:t>
            </w:r>
          </w:p>
          <w:p>
            <w:pPr>
              <w:spacing w:line="360" w:lineRule="exact"/>
              <w:ind w:right="-147" w:rightChars="-70"/>
              <w:jc w:val="left"/>
              <w:rPr>
                <w:rFonts w:ascii="仿宋" w:hAnsi="仿宋" w:eastAsia="仿宋" w:cs="仿宋"/>
                <w:bCs/>
                <w:sz w:val="24"/>
                <w:szCs w:val="24"/>
                <w:lang w:val="zh-CN"/>
              </w:rPr>
            </w:pPr>
            <w:r>
              <w:rPr>
                <w:rFonts w:hint="eastAsia" w:ascii="仿宋" w:hAnsi="仿宋" w:eastAsia="仿宋" w:cs="仿宋"/>
                <w:bCs/>
                <w:sz w:val="24"/>
                <w:szCs w:val="24"/>
                <w:lang w:val="zh-CN"/>
              </w:rPr>
              <w:t>帐    户：</w:t>
            </w:r>
            <w:r>
              <w:rPr>
                <w:rFonts w:hint="eastAsia" w:ascii="仿宋" w:hAnsi="仿宋" w:eastAsia="仿宋" w:cs="仿宋"/>
                <w:bCs/>
                <w:sz w:val="24"/>
                <w:szCs w:val="24"/>
              </w:rPr>
              <w:t xml:space="preserve"> </w:t>
            </w:r>
            <w:r>
              <w:rPr>
                <w:rFonts w:hint="eastAsia" w:ascii="仿宋" w:hAnsi="仿宋" w:eastAsia="仿宋" w:cs="仿宋"/>
                <w:bCs/>
                <w:sz w:val="24"/>
                <w:szCs w:val="24"/>
                <w:lang w:val="zh-CN"/>
              </w:rPr>
              <w:t>0200247009200077514</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sz w:val="24"/>
                <w:szCs w:val="24"/>
                <w:lang w:val="zh-CN"/>
              </w:rPr>
              <w:t>行    号:</w:t>
            </w:r>
            <w:r>
              <w:rPr>
                <w:rFonts w:hint="eastAsia" w:ascii="仿宋" w:hAnsi="仿宋" w:eastAsia="仿宋" w:cs="仿宋"/>
                <w:bCs/>
                <w:sz w:val="24"/>
                <w:szCs w:val="24"/>
              </w:rPr>
              <w:t xml:space="preserve">  </w:t>
            </w:r>
            <w:r>
              <w:rPr>
                <w:rFonts w:hint="eastAsia" w:ascii="仿宋" w:hAnsi="仿宋" w:eastAsia="仿宋" w:cs="仿宋"/>
                <w:bCs/>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440" w:lineRule="exact"/>
        <w:rPr>
          <w:rStyle w:val="14"/>
          <w:rFonts w:ascii="仿宋" w:hAnsi="仿宋" w:eastAsia="仿宋" w:cs="仿宋"/>
          <w:b w:val="0"/>
          <w:bCs w:val="0"/>
          <w:color w:val="000000"/>
          <w:sz w:val="32"/>
          <w:szCs w:val="32"/>
          <w:lang w:val="zh-CN"/>
        </w:rPr>
      </w:pPr>
      <w:r>
        <w:rPr>
          <w:rStyle w:val="14"/>
          <w:rFonts w:hint="eastAsia" w:ascii="仿宋" w:hAnsi="仿宋" w:eastAsia="仿宋" w:cs="仿宋"/>
          <w:b w:val="0"/>
          <w:bCs w:val="0"/>
          <w:color w:val="000000"/>
          <w:sz w:val="32"/>
          <w:szCs w:val="32"/>
          <w:lang w:val="zh-CN"/>
        </w:rPr>
        <w:t>注：1.本次培训内容可赴企业提供内训;</w:t>
      </w:r>
    </w:p>
    <w:p>
      <w:pPr>
        <w:spacing w:line="440" w:lineRule="exact"/>
        <w:ind w:firstLine="640" w:firstLineChars="200"/>
      </w:pPr>
      <w:r>
        <w:rPr>
          <w:rStyle w:val="14"/>
          <w:rFonts w:hint="eastAsia" w:ascii="仿宋" w:hAnsi="仿宋" w:eastAsia="仿宋" w:cs="仿宋"/>
          <w:b w:val="0"/>
          <w:bCs w:val="0"/>
          <w:color w:val="000000"/>
          <w:sz w:val="32"/>
          <w:szCs w:val="32"/>
          <w:lang w:val="zh-CN"/>
        </w:rPr>
        <w:t>2.联系人：李妍 13439361367邮箱：498828030@qq.com</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F8615"/>
    <w:multiLevelType w:val="singleLevel"/>
    <w:tmpl w:val="CD5F8615"/>
    <w:lvl w:ilvl="0" w:tentative="0">
      <w:start w:val="1"/>
      <w:numFmt w:val="decimalEnclosedCircleChinese"/>
      <w:suff w:val="nothing"/>
      <w:lvlText w:val="%1　"/>
      <w:lvlJc w:val="left"/>
      <w:pPr>
        <w:ind w:left="0" w:firstLine="400"/>
      </w:pPr>
      <w:rPr>
        <w:rFonts w:hint="eastAsia"/>
      </w:rPr>
    </w:lvl>
  </w:abstractNum>
  <w:abstractNum w:abstractNumId="1">
    <w:nsid w:val="EA3A4231"/>
    <w:multiLevelType w:val="singleLevel"/>
    <w:tmpl w:val="EA3A4231"/>
    <w:lvl w:ilvl="0" w:tentative="0">
      <w:start w:val="1"/>
      <w:numFmt w:val="decimalEnclosedCircleChinese"/>
      <w:suff w:val="nothing"/>
      <w:lvlText w:val="%1　"/>
      <w:lvlJc w:val="left"/>
      <w:pPr>
        <w:ind w:left="0" w:firstLine="400"/>
      </w:pPr>
      <w:rPr>
        <w:rFonts w:hint="eastAsia"/>
      </w:rPr>
    </w:lvl>
  </w:abstractNum>
  <w:abstractNum w:abstractNumId="2">
    <w:nsid w:val="6ACC8372"/>
    <w:multiLevelType w:val="singleLevel"/>
    <w:tmpl w:val="6ACC8372"/>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ODhiMzhlYTcwY2JmM2RjZDk3YTJmYzllNzhlMmU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05AA"/>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504E"/>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DF79A0"/>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881B40"/>
    <w:rsid w:val="029D7E0E"/>
    <w:rsid w:val="02C408FD"/>
    <w:rsid w:val="032F4101"/>
    <w:rsid w:val="0386068D"/>
    <w:rsid w:val="038A10A3"/>
    <w:rsid w:val="039C6F92"/>
    <w:rsid w:val="03AB485F"/>
    <w:rsid w:val="04487934"/>
    <w:rsid w:val="04540AED"/>
    <w:rsid w:val="048243D7"/>
    <w:rsid w:val="04AF2D6A"/>
    <w:rsid w:val="05A96AB9"/>
    <w:rsid w:val="05EC7C78"/>
    <w:rsid w:val="06250D8E"/>
    <w:rsid w:val="06391792"/>
    <w:rsid w:val="069112B1"/>
    <w:rsid w:val="06A51757"/>
    <w:rsid w:val="06BE08D3"/>
    <w:rsid w:val="06E93649"/>
    <w:rsid w:val="072772CB"/>
    <w:rsid w:val="0745441F"/>
    <w:rsid w:val="07545E0D"/>
    <w:rsid w:val="07BE65C9"/>
    <w:rsid w:val="080A04AA"/>
    <w:rsid w:val="08672E2F"/>
    <w:rsid w:val="089671CE"/>
    <w:rsid w:val="08FE697A"/>
    <w:rsid w:val="090E5A20"/>
    <w:rsid w:val="0937401C"/>
    <w:rsid w:val="096711B6"/>
    <w:rsid w:val="09916381"/>
    <w:rsid w:val="0A2827EF"/>
    <w:rsid w:val="0B4A62F6"/>
    <w:rsid w:val="0B613480"/>
    <w:rsid w:val="0BF55298"/>
    <w:rsid w:val="0C892991"/>
    <w:rsid w:val="0CEC7AC4"/>
    <w:rsid w:val="0D5B517E"/>
    <w:rsid w:val="0D821721"/>
    <w:rsid w:val="0D827406"/>
    <w:rsid w:val="0E2C2521"/>
    <w:rsid w:val="0E31529C"/>
    <w:rsid w:val="0E567760"/>
    <w:rsid w:val="0E821584"/>
    <w:rsid w:val="0EB130DD"/>
    <w:rsid w:val="0EF2253E"/>
    <w:rsid w:val="0F371065"/>
    <w:rsid w:val="0F5D3AD7"/>
    <w:rsid w:val="0FB373C2"/>
    <w:rsid w:val="10003167"/>
    <w:rsid w:val="1041456A"/>
    <w:rsid w:val="10EA107C"/>
    <w:rsid w:val="10F152D1"/>
    <w:rsid w:val="10F4167B"/>
    <w:rsid w:val="11016338"/>
    <w:rsid w:val="111605D9"/>
    <w:rsid w:val="111B440F"/>
    <w:rsid w:val="112C5508"/>
    <w:rsid w:val="115A4FAB"/>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7376B4"/>
    <w:rsid w:val="1BA37954"/>
    <w:rsid w:val="1D070E95"/>
    <w:rsid w:val="1D2A548F"/>
    <w:rsid w:val="1D9B0042"/>
    <w:rsid w:val="1DF0590F"/>
    <w:rsid w:val="1E7000A9"/>
    <w:rsid w:val="1E7E1343"/>
    <w:rsid w:val="1EB2462D"/>
    <w:rsid w:val="1ED316C4"/>
    <w:rsid w:val="1F18457B"/>
    <w:rsid w:val="1F2F5BB3"/>
    <w:rsid w:val="1FAB251C"/>
    <w:rsid w:val="1FC71F3D"/>
    <w:rsid w:val="20FC6AF6"/>
    <w:rsid w:val="20FE28AF"/>
    <w:rsid w:val="2186585E"/>
    <w:rsid w:val="21A53261"/>
    <w:rsid w:val="21B829B1"/>
    <w:rsid w:val="21CE131A"/>
    <w:rsid w:val="223C1057"/>
    <w:rsid w:val="226C63DB"/>
    <w:rsid w:val="235403A6"/>
    <w:rsid w:val="23962806"/>
    <w:rsid w:val="23C57ECD"/>
    <w:rsid w:val="23D82DB4"/>
    <w:rsid w:val="23E81CBE"/>
    <w:rsid w:val="23F9579F"/>
    <w:rsid w:val="241A5173"/>
    <w:rsid w:val="24314B90"/>
    <w:rsid w:val="24DC3957"/>
    <w:rsid w:val="24EF05CB"/>
    <w:rsid w:val="251233D5"/>
    <w:rsid w:val="256E19BE"/>
    <w:rsid w:val="25876083"/>
    <w:rsid w:val="25DA4976"/>
    <w:rsid w:val="26004647"/>
    <w:rsid w:val="265B1527"/>
    <w:rsid w:val="26626FE6"/>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472A4"/>
    <w:rsid w:val="318A4283"/>
    <w:rsid w:val="32026033"/>
    <w:rsid w:val="323922EC"/>
    <w:rsid w:val="32994C24"/>
    <w:rsid w:val="32C450D5"/>
    <w:rsid w:val="335D5DA9"/>
    <w:rsid w:val="33AA0E82"/>
    <w:rsid w:val="33BA6FAA"/>
    <w:rsid w:val="33C11557"/>
    <w:rsid w:val="34AF3055"/>
    <w:rsid w:val="35BF7EF1"/>
    <w:rsid w:val="36375C62"/>
    <w:rsid w:val="36417CF8"/>
    <w:rsid w:val="36725439"/>
    <w:rsid w:val="36B61B60"/>
    <w:rsid w:val="36D840B5"/>
    <w:rsid w:val="36DB00E9"/>
    <w:rsid w:val="36E75057"/>
    <w:rsid w:val="375C25BD"/>
    <w:rsid w:val="37875F11"/>
    <w:rsid w:val="37A24A6E"/>
    <w:rsid w:val="381B3A7D"/>
    <w:rsid w:val="386E12AA"/>
    <w:rsid w:val="396709C4"/>
    <w:rsid w:val="39936674"/>
    <w:rsid w:val="39D361B3"/>
    <w:rsid w:val="3A247B94"/>
    <w:rsid w:val="3A413D5A"/>
    <w:rsid w:val="3AD36C38"/>
    <w:rsid w:val="3B3403C3"/>
    <w:rsid w:val="3B5F264D"/>
    <w:rsid w:val="3B72400B"/>
    <w:rsid w:val="3C1918F2"/>
    <w:rsid w:val="3C3F44FF"/>
    <w:rsid w:val="3D477772"/>
    <w:rsid w:val="3D642B8D"/>
    <w:rsid w:val="3DAD65CC"/>
    <w:rsid w:val="3E276C01"/>
    <w:rsid w:val="3EC67AC6"/>
    <w:rsid w:val="3F384684"/>
    <w:rsid w:val="3F55424E"/>
    <w:rsid w:val="3FE864ED"/>
    <w:rsid w:val="3FFF7618"/>
    <w:rsid w:val="40524679"/>
    <w:rsid w:val="41570631"/>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73C4F36"/>
    <w:rsid w:val="481B35A5"/>
    <w:rsid w:val="484C1017"/>
    <w:rsid w:val="487724AD"/>
    <w:rsid w:val="48C360B2"/>
    <w:rsid w:val="48C57DA4"/>
    <w:rsid w:val="48E20B9B"/>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37535"/>
    <w:rsid w:val="4E177262"/>
    <w:rsid w:val="4E1A0B05"/>
    <w:rsid w:val="4F49629E"/>
    <w:rsid w:val="4F8D0383"/>
    <w:rsid w:val="4FAB639E"/>
    <w:rsid w:val="4FDD49BC"/>
    <w:rsid w:val="4FF421B4"/>
    <w:rsid w:val="50A02524"/>
    <w:rsid w:val="50CE2E68"/>
    <w:rsid w:val="50F87E96"/>
    <w:rsid w:val="51215B18"/>
    <w:rsid w:val="51C147EA"/>
    <w:rsid w:val="51EC1214"/>
    <w:rsid w:val="51F162B2"/>
    <w:rsid w:val="52036AFF"/>
    <w:rsid w:val="52286541"/>
    <w:rsid w:val="52A15CC9"/>
    <w:rsid w:val="54101469"/>
    <w:rsid w:val="54367BA8"/>
    <w:rsid w:val="54617A0D"/>
    <w:rsid w:val="548C494D"/>
    <w:rsid w:val="54CF74C2"/>
    <w:rsid w:val="54E82E0F"/>
    <w:rsid w:val="5577615B"/>
    <w:rsid w:val="55CE23FE"/>
    <w:rsid w:val="56BA3299"/>
    <w:rsid w:val="56E56A5A"/>
    <w:rsid w:val="57585BA4"/>
    <w:rsid w:val="575B5092"/>
    <w:rsid w:val="581229F6"/>
    <w:rsid w:val="595841FF"/>
    <w:rsid w:val="59637CEE"/>
    <w:rsid w:val="59BD7460"/>
    <w:rsid w:val="5A231AE8"/>
    <w:rsid w:val="5A2C4116"/>
    <w:rsid w:val="5A324F4B"/>
    <w:rsid w:val="5AA20D9D"/>
    <w:rsid w:val="5AEA0E1C"/>
    <w:rsid w:val="5B3C509D"/>
    <w:rsid w:val="5B743BCB"/>
    <w:rsid w:val="5B8F6EE2"/>
    <w:rsid w:val="5B916070"/>
    <w:rsid w:val="5BB557C0"/>
    <w:rsid w:val="5BF721BE"/>
    <w:rsid w:val="5C1C7CF1"/>
    <w:rsid w:val="5C5E0FBE"/>
    <w:rsid w:val="5D2766FB"/>
    <w:rsid w:val="5D315AC1"/>
    <w:rsid w:val="5D92142E"/>
    <w:rsid w:val="5DAC2C7F"/>
    <w:rsid w:val="5DEB7A0C"/>
    <w:rsid w:val="5E0E5FE6"/>
    <w:rsid w:val="5E236C50"/>
    <w:rsid w:val="5E887102"/>
    <w:rsid w:val="5E9152CB"/>
    <w:rsid w:val="5F1E43C2"/>
    <w:rsid w:val="5F416193"/>
    <w:rsid w:val="5F745955"/>
    <w:rsid w:val="5F856924"/>
    <w:rsid w:val="5FDB104A"/>
    <w:rsid w:val="603311A1"/>
    <w:rsid w:val="606C5CFF"/>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394F0C"/>
    <w:rsid w:val="6E7828AC"/>
    <w:rsid w:val="6E854B40"/>
    <w:rsid w:val="6EF717BC"/>
    <w:rsid w:val="6EFE35A8"/>
    <w:rsid w:val="6F2351BC"/>
    <w:rsid w:val="6F483536"/>
    <w:rsid w:val="6F6F407E"/>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C1E15"/>
    <w:rsid w:val="77396FDF"/>
    <w:rsid w:val="778E4E74"/>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601571"/>
    <w:rsid w:val="7E861FE0"/>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locked/>
    <w:uiPriority w:val="0"/>
    <w:pPr>
      <w:keepNext/>
      <w:jc w:val="center"/>
      <w:outlineLvl w:val="0"/>
    </w:pPr>
    <w:rPr>
      <w:rFonts w:eastAsia="楷体_GB2312"/>
      <w:sz w:val="28"/>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Body Text"/>
    <w:basedOn w:val="1"/>
    <w:qFormat/>
    <w:uiPriority w:val="1"/>
    <w:pPr>
      <w:ind w:left="1068"/>
    </w:pPr>
    <w:rPr>
      <w:sz w:val="32"/>
      <w:szCs w:val="32"/>
    </w:rPr>
  </w:style>
  <w:style w:type="paragraph" w:styleId="6">
    <w:name w:val="Balloon Text"/>
    <w:basedOn w:val="1"/>
    <w:link w:val="30"/>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kern w:val="0"/>
      <w:sz w:val="18"/>
      <w:szCs w:val="18"/>
    </w:rPr>
  </w:style>
  <w:style w:type="paragraph" w:styleId="8">
    <w:name w:val="header"/>
    <w:basedOn w:val="1"/>
    <w:link w:val="18"/>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Body Text 2"/>
    <w:basedOn w:val="1"/>
    <w:link w:val="19"/>
    <w:qFormat/>
    <w:uiPriority w:val="0"/>
    <w:pPr>
      <w:overflowPunct w:val="0"/>
      <w:autoSpaceDE w:val="0"/>
      <w:autoSpaceDN w:val="0"/>
      <w:jc w:val="center"/>
    </w:pPr>
    <w:rPr>
      <w:rFonts w:ascii="华文中宋" w:hAnsi="宋体" w:eastAsia="华文中宋"/>
      <w:b/>
      <w:kern w:val="0"/>
      <w:sz w:val="36"/>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0"/>
    <w:qFormat/>
    <w:locked/>
    <w:uiPriority w:val="0"/>
    <w:pPr>
      <w:spacing w:before="240" w:after="60"/>
      <w:jc w:val="center"/>
      <w:outlineLvl w:val="0"/>
    </w:pPr>
    <w:rPr>
      <w:rFonts w:ascii="Cambria" w:hAnsi="Cambria"/>
      <w:b/>
      <w:bCs/>
      <w:sz w:val="32"/>
      <w:szCs w:val="32"/>
    </w:rPr>
  </w:style>
  <w:style w:type="character" w:styleId="14">
    <w:name w:val="Strong"/>
    <w:basedOn w:val="13"/>
    <w:qFormat/>
    <w:locked/>
    <w:uiPriority w:val="99"/>
    <w:rPr>
      <w:b/>
      <w:bCs/>
    </w:rPr>
  </w:style>
  <w:style w:type="character" w:styleId="15">
    <w:name w:val="page number"/>
    <w:basedOn w:val="13"/>
    <w:qFormat/>
    <w:uiPriority w:val="0"/>
  </w:style>
  <w:style w:type="character" w:styleId="16">
    <w:name w:val="Hyperlink"/>
    <w:qFormat/>
    <w:uiPriority w:val="0"/>
    <w:rPr>
      <w:color w:val="0000FF"/>
      <w:u w:val="single"/>
    </w:rPr>
  </w:style>
  <w:style w:type="character" w:customStyle="1" w:styleId="17">
    <w:name w:val="页脚 Char"/>
    <w:link w:val="7"/>
    <w:qFormat/>
    <w:locked/>
    <w:uiPriority w:val="99"/>
    <w:rPr>
      <w:rFonts w:cs="Times New Roman"/>
      <w:sz w:val="18"/>
      <w:szCs w:val="18"/>
    </w:rPr>
  </w:style>
  <w:style w:type="character" w:customStyle="1" w:styleId="18">
    <w:name w:val="页眉 Char"/>
    <w:link w:val="8"/>
    <w:semiHidden/>
    <w:qFormat/>
    <w:locked/>
    <w:uiPriority w:val="0"/>
    <w:rPr>
      <w:rFonts w:cs="Times New Roman"/>
      <w:sz w:val="18"/>
      <w:szCs w:val="18"/>
    </w:rPr>
  </w:style>
  <w:style w:type="character" w:customStyle="1" w:styleId="19">
    <w:name w:val="正文文本 2 Char"/>
    <w:link w:val="9"/>
    <w:qFormat/>
    <w:uiPriority w:val="0"/>
    <w:rPr>
      <w:rFonts w:ascii="华文中宋" w:hAnsi="宋体" w:eastAsia="华文中宋"/>
      <w:b/>
      <w:sz w:val="36"/>
      <w:szCs w:val="32"/>
    </w:rPr>
  </w:style>
  <w:style w:type="character" w:customStyle="1" w:styleId="20">
    <w:name w:val="标题 Char"/>
    <w:link w:val="11"/>
    <w:qFormat/>
    <w:uiPriority w:val="0"/>
    <w:rPr>
      <w:rFonts w:ascii="Cambria" w:hAnsi="Cambria" w:cs="Times New Roman"/>
      <w:b/>
      <w:bCs/>
      <w:kern w:val="2"/>
      <w:sz w:val="32"/>
      <w:szCs w:val="32"/>
    </w:rPr>
  </w:style>
  <w:style w:type="character" w:customStyle="1" w:styleId="21">
    <w:name w:val="正文文本 2 Char1"/>
    <w:qFormat/>
    <w:uiPriority w:val="0"/>
    <w:rPr>
      <w:kern w:val="2"/>
      <w:sz w:val="21"/>
      <w:szCs w:val="22"/>
    </w:rPr>
  </w:style>
  <w:style w:type="paragraph" w:customStyle="1" w:styleId="22">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3">
    <w:name w:val="列出段落1"/>
    <w:basedOn w:val="1"/>
    <w:qFormat/>
    <w:uiPriority w:val="34"/>
    <w:pPr>
      <w:spacing w:line="360" w:lineRule="auto"/>
      <w:ind w:firstLine="420" w:firstLineChars="200"/>
    </w:p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Char Char Char Char Char Char Char"/>
    <w:basedOn w:val="1"/>
    <w:qFormat/>
    <w:uiPriority w:val="0"/>
    <w:pPr>
      <w:widowControl/>
      <w:spacing w:line="240" w:lineRule="exact"/>
      <w:jc w:val="left"/>
    </w:pPr>
  </w:style>
  <w:style w:type="paragraph" w:customStyle="1" w:styleId="27">
    <w:name w:val="List Paragraph1"/>
    <w:basedOn w:val="1"/>
    <w:qFormat/>
    <w:uiPriority w:val="0"/>
    <w:pPr>
      <w:ind w:firstLine="420" w:firstLineChars="200"/>
    </w:pPr>
  </w:style>
  <w:style w:type="paragraph" w:styleId="28">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9">
    <w:name w:val="Table Paragraph"/>
    <w:basedOn w:val="1"/>
    <w:qFormat/>
    <w:uiPriority w:val="1"/>
    <w:pPr>
      <w:spacing w:line="300" w:lineRule="exact"/>
      <w:ind w:left="1307"/>
    </w:pPr>
  </w:style>
  <w:style w:type="character" w:customStyle="1" w:styleId="30">
    <w:name w:val="批注框文本 Char"/>
    <w:basedOn w:val="13"/>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9</Pages>
  <Words>4584</Words>
  <Characters>4865</Characters>
  <Lines>37</Lines>
  <Paragraphs>10</Paragraphs>
  <TotalTime>4</TotalTime>
  <ScaleCrop>false</ScaleCrop>
  <LinksUpToDate>false</LinksUpToDate>
  <CharactersWithSpaces>5037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2022-09-02T10:42:00Z</dcterms:created>
  <dc:creator>马强</dc:creator>
  <cp:lastModifiedBy>Administrator</cp:lastModifiedBy>
  <cp:lastPrinted>2019-12-04T11:52:00Z</cp:lastPrinted>
  <dcterms:modified xsi:type="dcterms:W3CDTF">2022-09-26T02:18:15Z</dcterms:modified>
  <dc:title>EPC工程总承包专题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B00005B573FF404FB59C91ED974ADC9A</vt:lpwstr>
  </property>
</Properties>
</file>