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AB" w:rsidRPr="007D57E0" w:rsidRDefault="00043AAB" w:rsidP="00043AAB">
      <w:pPr>
        <w:spacing w:line="560" w:lineRule="exact"/>
        <w:rPr>
          <w:rFonts w:ascii="黑体" w:eastAsia="黑体" w:hAnsi="黑体"/>
          <w:szCs w:val="32"/>
        </w:rPr>
      </w:pPr>
      <w:r w:rsidRPr="007D57E0">
        <w:rPr>
          <w:rFonts w:ascii="黑体" w:eastAsia="黑体" w:hAnsi="黑体" w:hint="eastAsia"/>
          <w:szCs w:val="32"/>
        </w:rPr>
        <w:t>附件1</w:t>
      </w:r>
    </w:p>
    <w:p w:rsidR="00043AAB" w:rsidRDefault="00043AAB" w:rsidP="00043AAB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206F0">
        <w:rPr>
          <w:rFonts w:ascii="方正小标宋简体" w:eastAsia="方正小标宋简体" w:hAnsi="仿宋" w:hint="eastAsia"/>
          <w:sz w:val="36"/>
          <w:szCs w:val="36"/>
        </w:rPr>
        <w:t>重庆某医院</w:t>
      </w:r>
      <w:r>
        <w:rPr>
          <w:rFonts w:ascii="方正小标宋简体" w:eastAsia="方正小标宋简体" w:hAnsi="仿宋" w:hint="eastAsia"/>
          <w:sz w:val="36"/>
          <w:szCs w:val="36"/>
        </w:rPr>
        <w:t>物业管理服务</w:t>
      </w:r>
      <w:r w:rsidRPr="008206F0">
        <w:rPr>
          <w:rFonts w:ascii="方正小标宋简体" w:eastAsia="方正小标宋简体" w:hAnsi="仿宋" w:hint="eastAsia"/>
          <w:sz w:val="36"/>
          <w:szCs w:val="36"/>
        </w:rPr>
        <w:t>社会化保障服务</w:t>
      </w:r>
      <w:r>
        <w:rPr>
          <w:rFonts w:ascii="方正小标宋简体" w:eastAsia="方正小标宋简体" w:hAnsi="仿宋" w:hint="eastAsia"/>
          <w:sz w:val="36"/>
          <w:szCs w:val="36"/>
        </w:rPr>
        <w:t>要求</w:t>
      </w:r>
    </w:p>
    <w:p w:rsidR="00043AAB" w:rsidRDefault="00043AAB" w:rsidP="00043AAB">
      <w:pPr>
        <w:spacing w:line="440" w:lineRule="exact"/>
        <w:rPr>
          <w:rFonts w:ascii="黑体" w:eastAsia="黑体" w:hAnsi="黑体"/>
          <w:szCs w:val="32"/>
        </w:rPr>
      </w:pPr>
    </w:p>
    <w:p w:rsidR="00043AAB" w:rsidRPr="00E025B1" w:rsidRDefault="00043AAB" w:rsidP="00043AAB">
      <w:pPr>
        <w:spacing w:line="440" w:lineRule="exact"/>
        <w:ind w:firstLineChars="200" w:firstLine="640"/>
        <w:outlineLvl w:val="1"/>
        <w:rPr>
          <w:rFonts w:ascii="黑体" w:eastAsia="黑体" w:hAnsi="黑体"/>
          <w:szCs w:val="32"/>
        </w:rPr>
      </w:pPr>
      <w:r w:rsidRPr="00E025B1">
        <w:rPr>
          <w:rFonts w:ascii="黑体" w:eastAsia="黑体" w:hAnsi="黑体" w:hint="eastAsia"/>
          <w:szCs w:val="32"/>
        </w:rPr>
        <w:t>一、环境服务管理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1.保洁服务。</w:t>
      </w:r>
      <w:r w:rsidRPr="00D25E01">
        <w:rPr>
          <w:rFonts w:ascii="仿宋_GB2312" w:hint="eastAsia"/>
          <w:szCs w:val="32"/>
        </w:rPr>
        <w:t>包含：日常保洁（不含新建筑的开荒保洁）、PVC地板保洁维护、外墙清洗（每年不少于1次）、特殊区域保洁、绿化带保洁。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2.绿化养护。</w:t>
      </w:r>
      <w:r w:rsidRPr="00D25E01">
        <w:rPr>
          <w:rFonts w:ascii="仿宋_GB2312" w:hint="eastAsia"/>
          <w:szCs w:val="32"/>
        </w:rPr>
        <w:t>包含：</w:t>
      </w:r>
      <w:proofErr w:type="gramStart"/>
      <w:r w:rsidRPr="00D25E01">
        <w:rPr>
          <w:rFonts w:ascii="仿宋_GB2312" w:hint="eastAsia"/>
          <w:szCs w:val="32"/>
        </w:rPr>
        <w:t>绿植洒水</w:t>
      </w:r>
      <w:proofErr w:type="gramEnd"/>
      <w:r w:rsidRPr="00D25E01">
        <w:rPr>
          <w:rFonts w:ascii="仿宋_GB2312" w:hint="eastAsia"/>
          <w:szCs w:val="32"/>
        </w:rPr>
        <w:t>、</w:t>
      </w:r>
      <w:proofErr w:type="gramStart"/>
      <w:r w:rsidRPr="00D25E01">
        <w:rPr>
          <w:rFonts w:ascii="仿宋_GB2312" w:hint="eastAsia"/>
          <w:szCs w:val="32"/>
        </w:rPr>
        <w:t>绿植施肥</w:t>
      </w:r>
      <w:proofErr w:type="gramEnd"/>
      <w:r w:rsidRPr="00D25E01">
        <w:rPr>
          <w:rFonts w:ascii="仿宋_GB2312" w:hint="eastAsia"/>
          <w:szCs w:val="32"/>
        </w:rPr>
        <w:t>、</w:t>
      </w:r>
      <w:proofErr w:type="gramStart"/>
      <w:r w:rsidRPr="00D25E01">
        <w:rPr>
          <w:rFonts w:ascii="仿宋_GB2312" w:hint="eastAsia"/>
          <w:szCs w:val="32"/>
        </w:rPr>
        <w:t>绿植修剪</w:t>
      </w:r>
      <w:proofErr w:type="gramEnd"/>
      <w:r w:rsidRPr="00D25E01">
        <w:rPr>
          <w:rFonts w:ascii="仿宋_GB2312" w:hint="eastAsia"/>
          <w:szCs w:val="32"/>
        </w:rPr>
        <w:t>、</w:t>
      </w:r>
      <w:proofErr w:type="gramStart"/>
      <w:r w:rsidRPr="00D25E01">
        <w:rPr>
          <w:rFonts w:ascii="仿宋_GB2312" w:hint="eastAsia"/>
          <w:szCs w:val="32"/>
        </w:rPr>
        <w:t>绿植病虫害</w:t>
      </w:r>
      <w:proofErr w:type="gramEnd"/>
      <w:r w:rsidRPr="00D25E01">
        <w:rPr>
          <w:rFonts w:ascii="仿宋_GB2312" w:hint="eastAsia"/>
          <w:szCs w:val="32"/>
        </w:rPr>
        <w:t>防治。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3.七害防治服务。</w:t>
      </w:r>
      <w:r w:rsidRPr="00D25E01">
        <w:rPr>
          <w:rFonts w:ascii="仿宋_GB2312" w:hint="eastAsia"/>
          <w:szCs w:val="32"/>
        </w:rPr>
        <w:t>包含：日常除七害、季节性消毒防治、专项治理。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4.生活垃圾收运服务。</w:t>
      </w:r>
      <w:r w:rsidRPr="00D25E01">
        <w:rPr>
          <w:rFonts w:ascii="仿宋_GB2312" w:hint="eastAsia"/>
          <w:szCs w:val="32"/>
        </w:rPr>
        <w:t>包含：生活垃圾收集、运输（不含餐厨垃圾、建筑垃圾）。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5.医疗废物收运服务。</w:t>
      </w:r>
      <w:r w:rsidRPr="00D25E01">
        <w:rPr>
          <w:rFonts w:ascii="仿宋_GB2312" w:hint="eastAsia"/>
          <w:szCs w:val="32"/>
        </w:rPr>
        <w:t>包含：医疗废物收集运送至指定</w:t>
      </w:r>
      <w:proofErr w:type="gramStart"/>
      <w:r w:rsidRPr="00D25E01">
        <w:rPr>
          <w:rFonts w:ascii="仿宋_GB2312" w:hint="eastAsia"/>
          <w:szCs w:val="32"/>
        </w:rPr>
        <w:t>医</w:t>
      </w:r>
      <w:proofErr w:type="gramEnd"/>
      <w:r w:rsidRPr="00D25E01">
        <w:rPr>
          <w:rFonts w:ascii="仿宋_GB2312" w:hint="eastAsia"/>
          <w:szCs w:val="32"/>
        </w:rPr>
        <w:t>废暂存处、登记日常</w:t>
      </w:r>
      <w:proofErr w:type="gramStart"/>
      <w:r w:rsidRPr="00D25E01">
        <w:rPr>
          <w:rFonts w:ascii="仿宋_GB2312" w:hint="eastAsia"/>
          <w:szCs w:val="32"/>
        </w:rPr>
        <w:t>医</w:t>
      </w:r>
      <w:proofErr w:type="gramEnd"/>
      <w:r w:rsidRPr="00D25E01">
        <w:rPr>
          <w:rFonts w:ascii="仿宋_GB2312" w:hint="eastAsia"/>
          <w:szCs w:val="32"/>
        </w:rPr>
        <w:t>废</w:t>
      </w:r>
      <w:proofErr w:type="gramStart"/>
      <w:r w:rsidRPr="00D25E01">
        <w:rPr>
          <w:rFonts w:ascii="仿宋_GB2312" w:hint="eastAsia"/>
          <w:szCs w:val="32"/>
        </w:rPr>
        <w:t>处置台</w:t>
      </w:r>
      <w:proofErr w:type="gramEnd"/>
      <w:r w:rsidRPr="00D25E01">
        <w:rPr>
          <w:rFonts w:ascii="仿宋_GB2312" w:hint="eastAsia"/>
          <w:szCs w:val="32"/>
        </w:rPr>
        <w:t>账、填报</w:t>
      </w:r>
      <w:proofErr w:type="gramStart"/>
      <w:r w:rsidRPr="00D25E01">
        <w:rPr>
          <w:rFonts w:ascii="仿宋_GB2312" w:hint="eastAsia"/>
          <w:szCs w:val="32"/>
        </w:rPr>
        <w:t>医</w:t>
      </w:r>
      <w:proofErr w:type="gramEnd"/>
      <w:r w:rsidRPr="00D25E01">
        <w:rPr>
          <w:rFonts w:ascii="仿宋_GB2312" w:hint="eastAsia"/>
          <w:szCs w:val="32"/>
        </w:rPr>
        <w:t>废处置联单。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6.化粪池清掏。</w:t>
      </w:r>
      <w:r w:rsidRPr="00D25E01">
        <w:rPr>
          <w:rFonts w:ascii="仿宋_GB2312" w:hint="eastAsia"/>
          <w:szCs w:val="32"/>
        </w:rPr>
        <w:t>包含：日常2次/年化粪池清掏；化粪池堵塞清掏。</w:t>
      </w:r>
    </w:p>
    <w:p w:rsidR="00043AAB" w:rsidRPr="00E025B1" w:rsidRDefault="00043AAB" w:rsidP="00043AAB">
      <w:pPr>
        <w:spacing w:line="440" w:lineRule="exact"/>
        <w:ind w:firstLineChars="200" w:firstLine="640"/>
        <w:outlineLvl w:val="1"/>
        <w:rPr>
          <w:rFonts w:ascii="黑体" w:eastAsia="黑体" w:hAnsi="黑体"/>
          <w:szCs w:val="32"/>
        </w:rPr>
      </w:pPr>
      <w:r w:rsidRPr="00E025B1">
        <w:rPr>
          <w:rFonts w:ascii="黑体" w:eastAsia="黑体" w:hAnsi="黑体" w:hint="eastAsia"/>
          <w:szCs w:val="32"/>
        </w:rPr>
        <w:t>二、秩序维护服务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1.安保服务。</w:t>
      </w:r>
      <w:r w:rsidRPr="00D25E01">
        <w:rPr>
          <w:rFonts w:ascii="仿宋_GB2312" w:hint="eastAsia"/>
          <w:szCs w:val="32"/>
        </w:rPr>
        <w:t>包含：全院治安保障服务；全区域巡查；纠纷处理；突发事件应急处置；电梯解救、处置。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2.消防管理</w:t>
      </w:r>
      <w:r w:rsidRPr="00D25E01">
        <w:rPr>
          <w:rFonts w:ascii="仿宋_GB2312" w:hint="eastAsia"/>
          <w:b/>
          <w:szCs w:val="32"/>
        </w:rPr>
        <w:t>。</w:t>
      </w:r>
      <w:r w:rsidRPr="00D25E01">
        <w:rPr>
          <w:rFonts w:ascii="仿宋_GB2312" w:hint="eastAsia"/>
          <w:szCs w:val="32"/>
        </w:rPr>
        <w:t>包含：消防设施设备管理；消防情况巡查；消防监控室设施、设备管理；异常情况发现、处置。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3.应急处置服务。</w:t>
      </w:r>
      <w:r w:rsidRPr="00D25E01">
        <w:rPr>
          <w:rFonts w:ascii="仿宋_GB2312" w:hint="eastAsia"/>
          <w:szCs w:val="32"/>
        </w:rPr>
        <w:t>日常突发事件处置服务；医疗纠纷、恐怖袭击、群体性事件应急处置服务；迎检、节假日、高峰期应急处置服务；恶劣天气（高温、暴雨、洪涝）应急处置。</w:t>
      </w:r>
    </w:p>
    <w:p w:rsidR="00043AAB" w:rsidRPr="00E025B1" w:rsidRDefault="00043AAB" w:rsidP="00043AAB">
      <w:pPr>
        <w:spacing w:line="440" w:lineRule="exact"/>
        <w:ind w:firstLineChars="200" w:firstLine="640"/>
        <w:outlineLvl w:val="1"/>
        <w:rPr>
          <w:rFonts w:ascii="黑体" w:eastAsia="黑体" w:hAnsi="黑体"/>
          <w:szCs w:val="32"/>
        </w:rPr>
      </w:pPr>
      <w:r w:rsidRPr="00E025B1">
        <w:rPr>
          <w:rFonts w:ascii="黑体" w:eastAsia="黑体" w:hAnsi="黑体" w:hint="eastAsia"/>
          <w:szCs w:val="32"/>
        </w:rPr>
        <w:t>三、</w:t>
      </w:r>
      <w:proofErr w:type="gramStart"/>
      <w:r w:rsidRPr="00E025B1">
        <w:rPr>
          <w:rFonts w:ascii="黑体" w:eastAsia="黑体" w:hAnsi="黑体" w:hint="eastAsia"/>
          <w:szCs w:val="32"/>
        </w:rPr>
        <w:t>维修维保服务</w:t>
      </w:r>
      <w:proofErr w:type="gramEnd"/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b/>
          <w:bCs/>
          <w:color w:val="FF0000"/>
          <w:szCs w:val="32"/>
        </w:rPr>
      </w:pPr>
      <w:r w:rsidRPr="00D25E01">
        <w:rPr>
          <w:rFonts w:ascii="仿宋_GB2312" w:hint="eastAsia"/>
          <w:szCs w:val="32"/>
        </w:rPr>
        <w:t>包含：营</w:t>
      </w:r>
      <w:proofErr w:type="gramStart"/>
      <w:r w:rsidRPr="00D25E01">
        <w:rPr>
          <w:rFonts w:ascii="仿宋_GB2312" w:hint="eastAsia"/>
          <w:szCs w:val="32"/>
        </w:rPr>
        <w:t>院基础</w:t>
      </w:r>
      <w:proofErr w:type="gramEnd"/>
      <w:r w:rsidRPr="00D25E01">
        <w:rPr>
          <w:rFonts w:ascii="仿宋_GB2312" w:hint="eastAsia"/>
          <w:szCs w:val="32"/>
        </w:rPr>
        <w:t>零星维修、水电设施设备维修维护、电梯巡检管理、锅炉维修管理、中央空调末端设施维修维护、监控室管理、转换层管理、直饮水设备维护、配电房值守、发电机房巡检管理、水泵房巡检管理。</w:t>
      </w:r>
    </w:p>
    <w:p w:rsidR="00043AAB" w:rsidRPr="00E025B1" w:rsidRDefault="00043AAB" w:rsidP="00043AAB">
      <w:pPr>
        <w:spacing w:line="440" w:lineRule="exact"/>
        <w:ind w:firstLineChars="200" w:firstLine="640"/>
        <w:outlineLvl w:val="1"/>
        <w:rPr>
          <w:rFonts w:ascii="黑体" w:eastAsia="黑体" w:hAnsi="黑体"/>
          <w:szCs w:val="32"/>
        </w:rPr>
      </w:pPr>
      <w:r w:rsidRPr="00E025B1">
        <w:rPr>
          <w:rFonts w:ascii="黑体" w:eastAsia="黑体" w:hAnsi="黑体" w:hint="eastAsia"/>
          <w:szCs w:val="32"/>
        </w:rPr>
        <w:t>四、医疗后勤服务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lastRenderedPageBreak/>
        <w:t>1.护工服务。</w:t>
      </w:r>
      <w:r w:rsidRPr="00D25E01">
        <w:rPr>
          <w:rFonts w:ascii="仿宋_GB2312" w:hint="eastAsia"/>
          <w:szCs w:val="32"/>
        </w:rPr>
        <w:t>包含：护工服务。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2.提血、送检服务。</w:t>
      </w:r>
      <w:r w:rsidRPr="00D25E01">
        <w:rPr>
          <w:rFonts w:ascii="仿宋_GB2312" w:hint="eastAsia"/>
          <w:szCs w:val="32"/>
        </w:rPr>
        <w:t>包含：提血、送检、药品配送服务。</w:t>
      </w:r>
    </w:p>
    <w:p w:rsidR="00043AAB" w:rsidRPr="00D25E01" w:rsidRDefault="00043AAB" w:rsidP="00043AAB">
      <w:pPr>
        <w:spacing w:line="440" w:lineRule="exact"/>
        <w:ind w:firstLineChars="200" w:firstLine="640"/>
        <w:rPr>
          <w:rFonts w:ascii="仿宋_GB2312"/>
          <w:szCs w:val="32"/>
        </w:rPr>
      </w:pPr>
      <w:r w:rsidRPr="00D25E01">
        <w:rPr>
          <w:rFonts w:ascii="仿宋_GB2312" w:hAnsi="黑体" w:hint="eastAsia"/>
          <w:szCs w:val="32"/>
        </w:rPr>
        <w:t>3.120担架员</w:t>
      </w:r>
      <w:r w:rsidRPr="00D25E01">
        <w:rPr>
          <w:rFonts w:ascii="仿宋_GB2312" w:hint="eastAsia"/>
          <w:b/>
          <w:szCs w:val="32"/>
        </w:rPr>
        <w:t>。</w:t>
      </w:r>
      <w:r w:rsidRPr="00D25E01">
        <w:rPr>
          <w:rFonts w:ascii="仿宋_GB2312" w:hint="eastAsia"/>
          <w:szCs w:val="32"/>
        </w:rPr>
        <w:t>包含：协助120出勤，抬担架服务。</w:t>
      </w:r>
    </w:p>
    <w:p w:rsidR="00043AAB" w:rsidRDefault="00043AAB" w:rsidP="00043AAB">
      <w:pPr>
        <w:spacing w:line="440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五、</w:t>
      </w:r>
      <w:r>
        <w:rPr>
          <w:rFonts w:ascii="黑体" w:eastAsia="黑体" w:hAnsi="黑体"/>
          <w:bCs/>
          <w:szCs w:val="32"/>
        </w:rPr>
        <w:t>最低人员配置</w:t>
      </w:r>
      <w:r>
        <w:rPr>
          <w:rFonts w:ascii="黑体" w:eastAsia="黑体" w:hAnsi="黑体" w:hint="eastAsia"/>
          <w:bCs/>
          <w:szCs w:val="32"/>
        </w:rPr>
        <w:t>及任职要求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1"/>
        <w:gridCol w:w="993"/>
        <w:gridCol w:w="5670"/>
      </w:tblGrid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人员类别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数量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任职要求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项目经理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年龄50周岁及以下，本科及以上学历，具有不少于3年以上三</w:t>
            </w:r>
            <w:proofErr w:type="gramStart"/>
            <w:r>
              <w:rPr>
                <w:rFonts w:ascii="仿宋_GB2312" w:hint="eastAsia"/>
                <w:sz w:val="24"/>
              </w:rPr>
              <w:t>甲以上</w:t>
            </w:r>
            <w:proofErr w:type="gramEnd"/>
            <w:r>
              <w:rPr>
                <w:rFonts w:ascii="仿宋_GB2312" w:hint="eastAsia"/>
                <w:sz w:val="24"/>
              </w:rPr>
              <w:t>医院、政府单位或大型企事业单位物业管理从业经验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保洁主管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年龄50周岁及以下，专科及以上学历，具有不少于3年以上三</w:t>
            </w:r>
            <w:proofErr w:type="gramStart"/>
            <w:r>
              <w:rPr>
                <w:rFonts w:ascii="仿宋_GB2312" w:hint="eastAsia"/>
                <w:sz w:val="24"/>
              </w:rPr>
              <w:t>甲以上</w:t>
            </w:r>
            <w:proofErr w:type="gramEnd"/>
            <w:r>
              <w:rPr>
                <w:rFonts w:ascii="仿宋_GB2312" w:hint="eastAsia"/>
                <w:sz w:val="24"/>
              </w:rPr>
              <w:t>医院、政府单位或大型企事业单位物业管理从业经验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秩序主管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年龄50周岁及以下，专科及以上学历，具有3年以上三</w:t>
            </w:r>
            <w:proofErr w:type="gramStart"/>
            <w:r>
              <w:rPr>
                <w:rFonts w:ascii="仿宋_GB2312" w:hint="eastAsia"/>
                <w:sz w:val="24"/>
              </w:rPr>
              <w:t>甲以上</w:t>
            </w:r>
            <w:proofErr w:type="gramEnd"/>
            <w:r>
              <w:rPr>
                <w:rFonts w:ascii="仿宋_GB2312" w:hint="eastAsia"/>
                <w:sz w:val="24"/>
              </w:rPr>
              <w:t xml:space="preserve">医院、政府单位或大型企事业单位物业管理从业经验。 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维修主管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年龄50周岁及以下，专科及以上学历，具有3年以上三</w:t>
            </w:r>
            <w:proofErr w:type="gramStart"/>
            <w:r>
              <w:rPr>
                <w:rFonts w:ascii="仿宋_GB2312" w:hint="eastAsia"/>
                <w:sz w:val="24"/>
              </w:rPr>
              <w:t>甲以上</w:t>
            </w:r>
            <w:proofErr w:type="gramEnd"/>
            <w:r>
              <w:rPr>
                <w:rFonts w:ascii="仿宋_GB2312" w:hint="eastAsia"/>
                <w:sz w:val="24"/>
              </w:rPr>
              <w:t>医院、政府单位或大型企事业单位物业管理从业经验，必须具有市场监督管理局颁发的</w:t>
            </w:r>
            <w:proofErr w:type="gramStart"/>
            <w:r>
              <w:rPr>
                <w:rFonts w:ascii="仿宋_GB2312" w:hint="eastAsia"/>
                <w:sz w:val="24"/>
              </w:rPr>
              <w:t>准操项目</w:t>
            </w:r>
            <w:proofErr w:type="gramEnd"/>
            <w:r>
              <w:rPr>
                <w:rFonts w:ascii="仿宋_GB2312" w:hint="eastAsia"/>
                <w:sz w:val="24"/>
              </w:rPr>
              <w:t>为高压电工作业的特种作业操作证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保洁人员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70人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年龄60周岁及以下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绿化养护人员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年龄55周岁及以下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垃圾车驾驶员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/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安保人员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30人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男性，年龄55周岁及以下，至少配备5名具备特种设备电梯操作证的人员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监控室保安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55周岁及以下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维修工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55周岁及以下，至少配备2名具备高压电工作业证人员 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护工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38人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年龄60周岁以下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转换层维护人员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/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提血、送检、取药配送人员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/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送检应急车司机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/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担架员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男性，年龄50周岁及以下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医</w:t>
            </w:r>
            <w:proofErr w:type="gramEnd"/>
            <w:r>
              <w:rPr>
                <w:rFonts w:ascii="仿宋_GB2312" w:hint="eastAsia"/>
                <w:sz w:val="24"/>
              </w:rPr>
              <w:t>废收运员</w:t>
            </w:r>
          </w:p>
        </w:tc>
        <w:tc>
          <w:tcPr>
            <w:tcW w:w="993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3人</w:t>
            </w:r>
          </w:p>
        </w:tc>
        <w:tc>
          <w:tcPr>
            <w:tcW w:w="5670" w:type="dxa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年龄60周岁及以下</w:t>
            </w:r>
          </w:p>
        </w:tc>
      </w:tr>
      <w:tr w:rsidR="00043AAB" w:rsidTr="001652A0">
        <w:trPr>
          <w:trHeight w:val="48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小计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170人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043AAB" w:rsidRDefault="00043AAB" w:rsidP="00043AAB">
      <w:pPr>
        <w:spacing w:line="440" w:lineRule="exact"/>
        <w:ind w:firstLine="562"/>
        <w:outlineLvl w:val="0"/>
        <w:rPr>
          <w:rFonts w:ascii="仿宋_GB2312" w:hAnsi="黑体"/>
          <w:b/>
          <w:bCs/>
          <w:sz w:val="24"/>
        </w:rPr>
      </w:pPr>
    </w:p>
    <w:p w:rsidR="00043AAB" w:rsidRDefault="00043AAB" w:rsidP="00043AAB">
      <w:pPr>
        <w:spacing w:line="440" w:lineRule="exact"/>
        <w:ind w:firstLineChars="200" w:firstLine="640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（六）最低设备配置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3403"/>
        <w:gridCol w:w="3816"/>
      </w:tblGrid>
      <w:tr w:rsidR="00043AAB" w:rsidTr="001652A0">
        <w:trPr>
          <w:trHeight w:val="454"/>
          <w:jc w:val="center"/>
        </w:trPr>
        <w:tc>
          <w:tcPr>
            <w:tcW w:w="764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996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岗位设置</w:t>
            </w:r>
          </w:p>
        </w:tc>
        <w:tc>
          <w:tcPr>
            <w:tcW w:w="2239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数量</w:t>
            </w:r>
          </w:p>
        </w:tc>
      </w:tr>
      <w:tr w:rsidR="00043AAB" w:rsidTr="001652A0">
        <w:trPr>
          <w:trHeight w:val="454"/>
          <w:jc w:val="center"/>
        </w:trPr>
        <w:tc>
          <w:tcPr>
            <w:tcW w:w="764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996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垃圾转运车</w:t>
            </w:r>
          </w:p>
        </w:tc>
        <w:tc>
          <w:tcPr>
            <w:tcW w:w="2239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1台</w:t>
            </w:r>
          </w:p>
        </w:tc>
      </w:tr>
      <w:tr w:rsidR="00043AAB" w:rsidTr="001652A0">
        <w:trPr>
          <w:trHeight w:val="454"/>
          <w:jc w:val="center"/>
        </w:trPr>
        <w:tc>
          <w:tcPr>
            <w:tcW w:w="764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996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医</w:t>
            </w:r>
            <w:proofErr w:type="gramEnd"/>
            <w:r>
              <w:rPr>
                <w:rFonts w:ascii="仿宋_GB2312" w:hint="eastAsia"/>
                <w:sz w:val="24"/>
              </w:rPr>
              <w:t>废转运车</w:t>
            </w:r>
          </w:p>
        </w:tc>
        <w:tc>
          <w:tcPr>
            <w:tcW w:w="2239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1台</w:t>
            </w:r>
          </w:p>
        </w:tc>
      </w:tr>
      <w:tr w:rsidR="00043AAB" w:rsidTr="001652A0">
        <w:trPr>
          <w:trHeight w:val="454"/>
          <w:jc w:val="center"/>
        </w:trPr>
        <w:tc>
          <w:tcPr>
            <w:tcW w:w="764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996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高压冲洗机</w:t>
            </w:r>
          </w:p>
        </w:tc>
        <w:tc>
          <w:tcPr>
            <w:tcW w:w="2239" w:type="pct"/>
            <w:vAlign w:val="center"/>
          </w:tcPr>
          <w:p w:rsidR="00043AAB" w:rsidRDefault="00043AAB" w:rsidP="001652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4台</w:t>
            </w:r>
          </w:p>
        </w:tc>
      </w:tr>
    </w:tbl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043AAB" w:rsidRDefault="00043AAB" w:rsidP="00043AAB">
      <w:pPr>
        <w:overflowPunct w:val="0"/>
        <w:spacing w:line="570" w:lineRule="exact"/>
        <w:rPr>
          <w:rFonts w:ascii="仿宋_GB2312" w:hAnsi="Arial" w:cs="Arial"/>
          <w:szCs w:val="32"/>
        </w:rPr>
      </w:pPr>
    </w:p>
    <w:p w:rsidR="00BA0322" w:rsidRDefault="00BA0322"/>
    <w:sectPr w:rsidR="00BA0322" w:rsidSect="00BA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AAB"/>
    <w:rsid w:val="00043AAB"/>
    <w:rsid w:val="00BA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A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1152</Characters>
  <Application>Microsoft Office Word</Application>
  <DocSecurity>0</DocSecurity>
  <Lines>9</Lines>
  <Paragraphs>2</Paragraphs>
  <ScaleCrop>false</ScaleCrop>
  <Company>China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2023-11-30T02:24:00Z</dcterms:created>
  <dcterms:modified xsi:type="dcterms:W3CDTF">2023-11-30T02:25:00Z</dcterms:modified>
</cp:coreProperties>
</file>