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162"/>
        <w:gridCol w:w="982"/>
        <w:gridCol w:w="5893"/>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jc w:val="center"/>
        </w:trPr>
        <w:tc>
          <w:tcPr>
            <w:tcW w:w="7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项目序号</w:t>
            </w:r>
          </w:p>
        </w:tc>
        <w:tc>
          <w:tcPr>
            <w:tcW w:w="11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申购科室名称</w:t>
            </w:r>
          </w:p>
        </w:tc>
        <w:tc>
          <w:tcPr>
            <w:tcW w:w="9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申购设备名称</w:t>
            </w:r>
          </w:p>
        </w:tc>
        <w:tc>
          <w:tcPr>
            <w:tcW w:w="58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功能需求</w:t>
            </w:r>
          </w:p>
        </w:tc>
        <w:tc>
          <w:tcPr>
            <w:tcW w:w="9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放射科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脑功能视听觉刺激系统</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1、视觉子系统抗磁场强度：3.0T；音频子系统:标准音频信号；同步系统：电平触发，光触发；受试者响应反馈系统：满足对医疗器械的生物兼容性要求；磁共振专用视力校准系统：无磁镜架可以同时装卸；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2、对镜片；</w:t>
            </w:r>
          </w:p>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3、可与西门子MAGNETOM</w:t>
            </w:r>
            <w:bookmarkStart w:id="0" w:name="_GoBack"/>
            <w:bookmarkEnd w:id="0"/>
            <w:r>
              <w:rPr>
                <w:rFonts w:hint="eastAsia" w:ascii="宋体" w:hAnsi="宋体" w:eastAsia="宋体" w:cs="宋体"/>
                <w:i w:val="0"/>
                <w:iCs w:val="0"/>
                <w:color w:val="000000"/>
                <w:kern w:val="0"/>
                <w:sz w:val="22"/>
                <w:szCs w:val="22"/>
                <w:u w:val="none"/>
                <w:lang w:val="en-US" w:eastAsia="zh-CN" w:bidi="ar"/>
              </w:rPr>
              <w:t xml:space="preserve"> Vida 3.0T此功能兼容； </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骨科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椎间孔镜镜子</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1.配合椎间孔镜手术器械微创下解决椎间盘突出症、椎管狭窄、黄韧带肥厚、骨质增生、软组织钙化等脊柱相关退变型疾病；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2.UBE镜子:主要针对骨科科常见的椎管狭窄、腰椎滑脱、颈病以及胸椎等脊柱退行性病变。其中包含:椎间盘突出症管狭窄症、椎体滑脱、神经根型颈椎病、脊髓型颈椎病等。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3、椎间孔镜1根：能与我院现有进口椎间孔镜（品牌：joimax）主机系统及手术器械配套使用；工作长度&gt;180mm；满足椎间孔入路与椎板间隙手术入路方式；椎间孔镜工作通道直径:&gt;3.5mm。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4、关节镜2支：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4.1、视向角0度，直径≥4mm，工作长度≤175mm。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4.2、视向角30度，直径≥4mm，工作长度≤175mm。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5.设备配置要求：椎间孔镜1根；关节镜2支：0°镜1支，30°镜1支。</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cstheme="minorBidi"/>
                <w:kern w:val="2"/>
                <w:sz w:val="21"/>
                <w:szCs w:val="22"/>
                <w:lang w:val="en-US" w:eastAsia="zh-CN" w:bidi="ar-SA"/>
              </w:rPr>
              <w:t>进口国产均可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jc w:val="center"/>
        </w:trPr>
        <w:tc>
          <w:tcPr>
            <w:tcW w:w="76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11"/>
                <w:lang w:val="en-US" w:eastAsia="zh-CN" w:bidi="ar"/>
              </w:rPr>
              <w:t>肝胆外科</w:t>
            </w:r>
            <w:r>
              <w:rPr>
                <w:rFonts w:ascii="Arial" w:hAnsi="Arial" w:eastAsia="宋体" w:cs="Arial"/>
                <w:i w:val="0"/>
                <w:iCs w:val="0"/>
                <w:color w:val="000000"/>
                <w:kern w:val="0"/>
                <w:sz w:val="18"/>
                <w:szCs w:val="18"/>
                <w:u w:val="none"/>
                <w:lang w:val="en-US" w:eastAsia="zh-CN" w:bidi="ar"/>
              </w:rPr>
              <w:t>2</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除颤监护仪</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1、双向波技术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2、重量≤6KG，心电图显示时间</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3、3导联心电监护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4、记录纸生化仪热敏数据打印纸；可充电锂电池；彩色 LCD 屏幕</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jc w:val="center"/>
        </w:trPr>
        <w:tc>
          <w:tcPr>
            <w:tcW w:w="760"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骨盆固定带</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1、院前急救中一个人即可现场操作使用。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2、材质:医用弹力布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3、规格:普通型(单孔)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4、长度:可根据需要选择合适的长度，可自粘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5、厚度:8-12 mm、重量:≤300g，尺寸20-30 cm</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theme="minorBidi"/>
                <w:kern w:val="2"/>
                <w:sz w:val="21"/>
                <w:szCs w:val="22"/>
                <w:lang w:val="en-US" w:eastAsia="zh-CN" w:bidi="ar-SA"/>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jc w:val="center"/>
        </w:trPr>
        <w:tc>
          <w:tcPr>
            <w:tcW w:w="760"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肋骨固定带</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1、产品包装:肋骨固定夹板1片+专用多头肋骨固定带1条/盒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2、产品尺寸:合金加固术前I型:夹板尺寸（16*18-18*20）cm;外围贴膜尺寸（ 23*25-25*27）cm；合金加固术后型I型:（16*18-18*20）cm；合金加固术前型II型:夹板尺寸（13*22-15*24）cm;外围贴膜尺寸 （18*27-20*29）cm；合金加固术后型I型:（13*22-15*24）cm；专用多头固定带:长度130-132cm、宽度24.5-27cm；</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3、由医用高分子材料、可塑型记忆铝合金板、低敏自粘胶、离型纸、非织造布外固定粘合层、多头肋骨固定带、魔术贴等多种材料制造而成。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4、板带结合，无需加热，随手塑形，刚性固定胸廓，助于即时镇痛，恢复胸壁功能，不限制呼吸、咳嗽运动。具有一定透气性和防水性，患者使用期间可沐浴，可拍X光可做核磁共振，复检不受影响。</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theme="minorBidi"/>
                <w:kern w:val="2"/>
                <w:sz w:val="21"/>
                <w:szCs w:val="22"/>
                <w:lang w:val="en-US" w:eastAsia="zh-CN" w:bidi="ar-SA"/>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4" w:hRule="atLeast"/>
          <w:jc w:val="center"/>
        </w:trPr>
        <w:tc>
          <w:tcPr>
            <w:tcW w:w="760"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气压止血带</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具备自我诊断和自我校准功能，非安全状态时，自动报警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2、压力范围:45-600mmhg，增量为 1mmhg精度为士4mmhg，时间范围:1-240分钟，增量为1分钟;具备备用电池；内置锂电池，充满电最长工作时间 ≥360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3、袖带:双袖带功能，可同时进行2个不同压力的手术;袖带规格:8in-42 in，颜色区分使用于全部病人和四肢;扇形袖带，满足各种形态的四肢;</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4、设备配置要求:单端口单气囊12#*1个；单端口单气囊 18# *1个；单端口单气囊 24# *1个；单端口单气囊 30#*1个；单端口单气囊 34# *1个；单端口单气囊 42# *1个。</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theme="minorBidi"/>
                <w:kern w:val="2"/>
                <w:sz w:val="21"/>
                <w:szCs w:val="22"/>
                <w:lang w:val="en-US" w:eastAsia="zh-CN" w:bidi="ar-SA"/>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0" w:hRule="atLeast"/>
          <w:jc w:val="center"/>
        </w:trPr>
        <w:tc>
          <w:tcPr>
            <w:tcW w:w="760"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抗休克裤</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1、施加周围压力:环绕腿部和腹部，施加可计量压力，最大限度地将这两个部位的血液输送到上躯干和头部的血液循环之中，使得体内有限的血液实现最优分配，以确保心、脑等生命重要器官的血液供应。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2.容易获取:裤裆(即接近腹沟股处)开口大，利于血管插管或血气收集。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3.容易读取:有三种磷光显示的读数、一个规格读数和一个减压阀读数。在光线微弱或夜间时，裤子上的读数也清晰可见。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4、使用方便:充气简单、气囊换修方便、耐用、清洗容易。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5.应用广泛:适用于院前和住院期间使用。</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4" w:hRule="atLeast"/>
          <w:jc w:val="center"/>
        </w:trPr>
        <w:tc>
          <w:tcPr>
            <w:tcW w:w="76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加温毯</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1、医用升温毯温度:设定温度分四档:室温32℃、38℃、43℃，精度:≤士1.5℃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2、医用升温毯超温、低温报警:高于设定温度 3℃时报警并停止工作、低于设定温度3℃时报警并停止工作。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3、医用升温毯累计计时:</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255h，计时精度:&lt;+1min。医用升温毯风速:可设置高风速和低风速两档，高风速 26±1Km/h,低风速 23+1Km/h6、医用升温毯工作噪音:正常工作的整机噪音&lt;49db。加温尺寸:</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101cmWx203cmL，允许误差:士5cm;加温毯破裂:正常使用加温毯时，其任何密封处不应破裂。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4、加温毯温度准确性:加温毯与主机连接，通过主机加热，应在 7min 内达到以下温度，低档:32℃士1.5℃，中档:38℃士1.5℃，高档:43℃±1.5℃。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5、设备配置要求:输气连接软管:直径72mm 长度 1.8M 大可伸缩</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4"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普外科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静脉腔内射频闭合发生器</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1、用于下肢大隐静脉曲张、小隐静脉曲张或穿通静脉曲张微创手术需要；</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2、提供持续稳定的、可控的射频能量；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3、提供的射频能量配合配套射频导管能够闭合曲张的大隐、小隐或穿通静脉；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4、提供的射频能量不损伤除病变静脉壁以外的任何组织；</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5、测定并显示射频输出的射频输出功率，负载阻抗，和射频传输的持续时间;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6、射频发生器可同时与设备中的传感器连接以便在射频传%1输时持续显示测定的温度;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7、可放置于常规手术室或日间手术室；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8、设备能量激发每次为 20-40 秒的治疗周期:发生器定时：器计数从20降至0，周期结束时能量传递振动停止；设备温度:120℃，最大功率:40-60W，发生器阻抗监测内部。</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9、设备实时反馈导管温度，实时反馈机器输出功率。输出方式均为双极。设备本身和设备耗材都能进行射频消融的开关操作</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1"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乳腺甲状腺外科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乳房活检与旋切系统</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主要用于：直径1-3cm的良性病灶的切除，特别适用于多发性肿块切除；直径小于1cm临床不可触及的可疑病灶的切除活检；患者有手术意愿，直径小于1cm临床不可触及的良性病灶切除活检；高度怀疑的恶性病灶的活检诊断；美容要求高的部分体表下病灶切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2.活检取样针的规格必须具有7G，及其他多规格可选。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3.具备中文操作界面。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4.正常组织模式和致密组织模式可选：对于钙化或质地坚硬的组织可选择致密组织模式进行切割。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5.穿刺针可与VAB专用的乳腺标记物（Breast tissue marker）配套使用，标记物可作为活检后随访，或手术前的定位标记。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6.其他配置要求：真空桶一个。</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stheme="minorBidi"/>
                <w:kern w:val="2"/>
                <w:sz w:val="21"/>
                <w:szCs w:val="22"/>
                <w:lang w:val="en-US" w:eastAsia="zh-CN" w:bidi="ar-SA"/>
              </w:rPr>
              <w:t>进口国产均可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76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乳腺甲状腺外科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等离子体手术系统</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工作频率：100KHz±10KHZ；</w:t>
            </w:r>
          </w:p>
          <w:p>
            <w:pPr>
              <w:keepNext w:val="0"/>
              <w:keepLines w:val="0"/>
              <w:widowControl/>
              <w:numPr>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2、阻抗显示：阻抗显示为0-999，阻抗侦测和自动能量检测技术。具有热损毁深度监控系统，对治疗深度进行实时检测反馈、达到预期（设置）的消融深度和治疗范围自动提示操作者。（在设备上有对应显示界面）</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3、输入功耗 ≦ 700VA，输出功率 ≦ 350W。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4、一个治疗刀头能同时实现消融、凝固、止血、切割功能，在一个手柄、同一个输出接口输出，避免手术操作过程中频繁更换治疗刀头的麻烦。</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5、治疗主机自动识别手柄、脚踏的连接状态。能在连接好脚踏和手柄后主机根据不同刀头自动设置默认功率大小。等离子消融切割：0-350档，等离子凝固止血： 0-100档连续调节，工作计时 0-99s循环计时（在设备上有对应显示界面），能通过脚踏开关启动、切换切割、消融和凝固模式。</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heme="minorBidi"/>
                <w:kern w:val="2"/>
                <w:sz w:val="21"/>
                <w:szCs w:val="22"/>
                <w:lang w:val="en-US" w:eastAsia="zh-CN" w:bidi="ar-SA"/>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7" w:hRule="atLeast"/>
          <w:jc w:val="center"/>
        </w:trPr>
        <w:tc>
          <w:tcPr>
            <w:tcW w:w="76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乳腺甲状腺外科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鼠牙倒齿抓钳</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1、2+3齿双动鼠牙倒齿，齿牙工整；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2、采用三拆、快拆式分体结构，实现任意组配，便于清洗及维护；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3、高分材料，韧性好、硬度高；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4、钳头张口73°，工作长度330mm或420mm，</w:t>
            </w:r>
            <w:r>
              <w:rPr>
                <w:rFonts w:hint="eastAsia" w:ascii="仿宋" w:hAnsi="仿宋" w:eastAsia="仿宋"/>
                <w:sz w:val="24"/>
                <w:szCs w:val="24"/>
                <w:lang w:val="en-US" w:eastAsia="zh-CN"/>
              </w:rPr>
              <w:t>器械钳头带硅胶保护套</w:t>
            </w:r>
            <w:r>
              <w:rPr>
                <w:rFonts w:hint="eastAsia" w:ascii="仿宋" w:hAnsi="仿宋" w:eastAsia="仿宋" w:cs="仿宋"/>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5、产品符合YY/T 0940-2014标准的相关要求；</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1"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神经内科</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术中神经电生理监测</w:t>
            </w:r>
          </w:p>
        </w:tc>
        <w:tc>
          <w:tcPr>
            <w:tcW w:w="5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1、监测要求: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监测诱发电位(VEP,AEP,SEP,MEP)、肌电图、脑电图、TOF等测试项目，为手术医生提供大脑活动、中枢神经、周围神经、肌肉及麻醉用药的客观评价指标，实时反馈手术过程中大脑神经的活动，指导手术进展中是否触及神经或对神经有无损伤及损伤的部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2、临床应用: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神经科保护神经系统功能的完整性，提高手术质量，可用于:(1)颅底手术:听神经瘤切除、颅神经微血管减压术等(2)皮层肿瘤切除术:胶质瘤等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(3)脑血管病手术:动脉瘤、劲动脉内膜剥脱术等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(4)癫痫手术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3、放大器 16 通道及以上。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4、采样频率:&gt;25kHz。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5、放大器模块化设计，方便后期维修及发生故障时不影响正在进行的手术。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6、刺激器采用分离式设计，即单独的恒压电刺激器和单独的恒流电刺激器，要求恒流电刺激器和恒压电刺激器可以不同频率同时进行刺激以达到最佳刺激效果。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7、设备通过独立的恒压刺激器无需其他外接硬件就可以直接在术中有效做出运动诱发，可直接在术中进行皮层脑电及功能区定位。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8、设备配置要求：放大器及连接线1套；主机基座及电源适配器1套；放大器延长头盒2个；独立恒流电刺激器及连接线1套；独立恒压电刺激器及连接线1套；工作站1套；仪器车1台</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stheme="minorBidi"/>
                <w:kern w:val="2"/>
                <w:sz w:val="21"/>
                <w:szCs w:val="22"/>
                <w:lang w:val="en-US" w:eastAsia="zh-CN" w:bidi="ar-SA"/>
              </w:rPr>
              <w:t>进口国产均可</w:t>
            </w:r>
          </w:p>
        </w:tc>
      </w:tr>
    </w:tbl>
    <w:p/>
    <w:sectPr>
      <w:footerReference r:id="rId3" w:type="default"/>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FE58A"/>
    <w:multiLevelType w:val="singleLevel"/>
    <w:tmpl w:val="3DDFE58A"/>
    <w:lvl w:ilvl="0" w:tentative="0">
      <w:start w:val="1"/>
      <w:numFmt w:val="decimal"/>
      <w:suff w:val="nothing"/>
      <w:lvlText w:val="%1、"/>
      <w:lvlJc w:val="left"/>
    </w:lvl>
  </w:abstractNum>
  <w:abstractNum w:abstractNumId="1">
    <w:nsid w:val="766F6435"/>
    <w:multiLevelType w:val="singleLevel"/>
    <w:tmpl w:val="766F643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MjMxMGQyODAyNmQ0ZTBlMmUxNzRmZTNhZjFiZTYifQ=="/>
  </w:docVars>
  <w:rsids>
    <w:rsidRoot w:val="79F6717C"/>
    <w:rsid w:val="011C65E1"/>
    <w:rsid w:val="05DE61E6"/>
    <w:rsid w:val="074D4709"/>
    <w:rsid w:val="0A6D18E6"/>
    <w:rsid w:val="10D125CB"/>
    <w:rsid w:val="132A1FD6"/>
    <w:rsid w:val="17E85AC5"/>
    <w:rsid w:val="18B21632"/>
    <w:rsid w:val="1FA00F62"/>
    <w:rsid w:val="200115E4"/>
    <w:rsid w:val="22B02A28"/>
    <w:rsid w:val="255C40F0"/>
    <w:rsid w:val="27645984"/>
    <w:rsid w:val="389B3DA9"/>
    <w:rsid w:val="40412D95"/>
    <w:rsid w:val="492949C7"/>
    <w:rsid w:val="4B38326F"/>
    <w:rsid w:val="4B436CC1"/>
    <w:rsid w:val="4BCD61FC"/>
    <w:rsid w:val="4E4F0EFE"/>
    <w:rsid w:val="4EC62FE0"/>
    <w:rsid w:val="5531145B"/>
    <w:rsid w:val="57AE12D4"/>
    <w:rsid w:val="5CEB62E2"/>
    <w:rsid w:val="616F0261"/>
    <w:rsid w:val="65DF77A2"/>
    <w:rsid w:val="660364FC"/>
    <w:rsid w:val="6AD461D1"/>
    <w:rsid w:val="6D25783A"/>
    <w:rsid w:val="6D3353A4"/>
    <w:rsid w:val="6F9B77A5"/>
    <w:rsid w:val="75041948"/>
    <w:rsid w:val="778D71EC"/>
    <w:rsid w:val="78956B45"/>
    <w:rsid w:val="79F6717C"/>
    <w:rsid w:val="7CD06AF1"/>
    <w:rsid w:val="7E6A7C63"/>
    <w:rsid w:val="7F37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ascii="Arial" w:hAnsi="Arial" w:cs="Arial"/>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paragraph" w:styleId="8">
    <w:name w:val="List Paragraph"/>
    <w:basedOn w:val="1"/>
    <w:qFormat/>
    <w:uiPriority w:val="99"/>
    <w:pPr>
      <w:ind w:firstLine="420" w:firstLineChars="200"/>
    </w:pPr>
  </w:style>
  <w:style w:type="character" w:customStyle="1" w:styleId="9">
    <w:name w:val="font31"/>
    <w:basedOn w:val="5"/>
    <w:qFormat/>
    <w:uiPriority w:val="0"/>
    <w:rPr>
      <w:rFonts w:hint="default" w:ascii="Arial" w:hAnsi="Arial" w:cs="Arial"/>
      <w:color w:val="000000"/>
      <w:sz w:val="18"/>
      <w:szCs w:val="18"/>
      <w:u w:val="none"/>
    </w:rPr>
  </w:style>
  <w:style w:type="character" w:customStyle="1" w:styleId="10">
    <w:name w:val="font21"/>
    <w:basedOn w:val="5"/>
    <w:qFormat/>
    <w:uiPriority w:val="0"/>
    <w:rPr>
      <w:rFonts w:hint="eastAsia" w:ascii="宋体" w:hAnsi="宋体" w:eastAsia="宋体" w:cs="宋体"/>
      <w:color w:val="000000"/>
      <w:sz w:val="18"/>
      <w:szCs w:val="18"/>
      <w:u w:val="none"/>
    </w:rPr>
  </w:style>
  <w:style w:type="character" w:customStyle="1" w:styleId="11">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2023-10-09T03:34:00Z</dcterms:created>
  <dc:creator>医学装备科</dc:creator>
  <cp:lastModifiedBy>医学工程部-医工组</cp:lastModifiedBy>
  <dcterms:modified xsi:type="dcterms:W3CDTF">2024-03-07T09:26:50Z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94E351764C0841209B1FC8625359E993_13</vt:lpwstr>
  </property>
</Properties>
</file>