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33"/>
        <w:gridCol w:w="801"/>
        <w:gridCol w:w="697"/>
        <w:gridCol w:w="6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1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后装治疗机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1.放射源到位精度≤1mm,步长精度</w:t>
            </w:r>
            <w:r>
              <w:rPr>
                <w:rStyle w:val="8"/>
                <w:lang w:val="en-US" w:eastAsia="zh-CN" w:bidi="ar"/>
              </w:rPr>
              <w:t>&lt;</w:t>
            </w:r>
            <w:r>
              <w:rPr>
                <w:rStyle w:val="7"/>
                <w:lang w:val="en-US" w:eastAsia="zh-CN" w:bidi="ar"/>
              </w:rPr>
              <w:t>1mm，控制计时器平均误差:&lt;1%，放射源安全进出次数≥25000次；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2.提供整套适合治疗不同病患的施源器；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3.具备安全联锁，具有两种以上紧急回源措施；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4.能进行三维近距离治疗计划设计、自适应放疗计划设计，支持在自适应计划中更改处方、导管、驻留点、权重信息并重新计算剂量，支持在横断面、冠状面和矢状面的自由勾画；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5.全面兼容 DICOM-RT协议，CT图像和治疗计划可在不同品牌设备下导入和导出；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6.设备配置要求:一台三维功能的后装治疗机主机(配备UPS电源)；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7.三维近距离治疗计划系统:全面兼容DICOM-RT协议，CT图像和治疗计划可在不同品牌设备下导入和导出；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8.施源器:包括一定数量的妇科施源器、直肠施源器、插值施源器、及软管施源器等；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9.两台后装转运床；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10.具备后装专用质控设备；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8463CB0"/>
    <w:rsid w:val="08463CB0"/>
    <w:rsid w:val="5FE41740"/>
    <w:rsid w:val="61F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2024-05-21T01:44:00Z</dcterms:created>
  <dc:creator>医学工程部-医工组</dc:creator>
  <cp:lastModifiedBy>医学工程部-医工组</cp:lastModifiedBy>
  <dcterms:modified xsi:type="dcterms:W3CDTF">2024-06-20T07:15:08Z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E536E51A68C74021A9556E97C2508EA9_11</vt:lpwstr>
  </property>
</Properties>
</file>