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31ACA">
      <w:pPr>
        <w:pStyle w:val="2"/>
        <w:keepNext w:val="0"/>
        <w:keepLines w:val="0"/>
        <w:pageBreakBefore w:val="0"/>
        <w:widowControl w:val="0"/>
        <w:kinsoku/>
        <w:wordWrap/>
        <w:overflowPunct w:val="0"/>
        <w:topLinePunct w:val="0"/>
        <w:autoSpaceDE w:val="0"/>
        <w:autoSpaceDN w:val="0"/>
        <w:bidi w:val="0"/>
        <w:adjustRightInd w:val="0"/>
        <w:snapToGrid w:val="0"/>
        <w:spacing w:before="0" w:beforeAutospacing="0" w:after="0" w:line="360" w:lineRule="auto"/>
        <w:ind w:left="0" w:leftChars="0" w:right="0" w:rightChars="0"/>
        <w:jc w:val="center"/>
        <w:rPr>
          <w:rFonts w:hint="eastAsia" w:ascii="宋体" w:hAnsi="宋体" w:cs="宋体"/>
          <w:color w:val="FF0000"/>
          <w:sz w:val="24"/>
          <w:szCs w:val="24"/>
          <w:highlight w:val="green"/>
        </w:rPr>
      </w:pPr>
      <w:r>
        <w:rPr>
          <w:rFonts w:hint="eastAsia" w:ascii="宋体" w:hAnsi="宋体" w:cs="宋体"/>
          <w:sz w:val="36"/>
          <w:szCs w:val="36"/>
        </w:rPr>
        <w:t>招标项目技术、服务、采购合同内容条款及其他商务要求</w:t>
      </w:r>
    </w:p>
    <w:p w14:paraId="461C4969">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firstLine="236" w:firstLineChars="98"/>
        <w:outlineLvl w:val="1"/>
        <w:rPr>
          <w:rFonts w:hint="eastAsia" w:ascii="宋体" w:hAnsi="宋体" w:cs="宋体"/>
          <w:b/>
          <w:bCs/>
          <w:sz w:val="24"/>
        </w:rPr>
      </w:pPr>
      <w:bookmarkStart w:id="0" w:name="_Toc217446094"/>
      <w:bookmarkStart w:id="1" w:name="_Toc217446095"/>
      <w:r>
        <w:rPr>
          <w:rFonts w:hint="eastAsia" w:ascii="宋体" w:hAnsi="宋体" w:cs="宋体"/>
          <w:b/>
          <w:bCs/>
          <w:sz w:val="24"/>
        </w:rPr>
        <w:t>一、项目概述</w:t>
      </w:r>
      <w:bookmarkEnd w:id="0"/>
    </w:p>
    <w:p w14:paraId="6F708BAA">
      <w:pPr>
        <w:pStyle w:val="5"/>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firstLine="480" w:firstLineChars="200"/>
        <w:rPr>
          <w:rFonts w:hint="eastAsia" w:ascii="宋体" w:hAnsi="宋体" w:eastAsia="宋体" w:cs="宋体"/>
          <w:sz w:val="24"/>
        </w:rPr>
      </w:pPr>
      <w:r>
        <w:rPr>
          <w:rFonts w:hint="eastAsia" w:ascii="宋体" w:hAnsi="宋体" w:eastAsia="宋体" w:cs="宋体"/>
          <w:sz w:val="24"/>
        </w:rPr>
        <w:t>1.项目概况：</w:t>
      </w:r>
      <w:r>
        <w:rPr>
          <w:rFonts w:hint="eastAsia" w:ascii="宋体" w:hAnsi="宋体" w:eastAsia="宋体" w:cs="宋体"/>
          <w:b/>
          <w:bCs/>
          <w:sz w:val="24"/>
          <w:lang w:val="en-US" w:eastAsia="zh-CN"/>
        </w:rPr>
        <w:t>西南科技大学</w:t>
      </w:r>
      <w:r>
        <w:rPr>
          <w:rFonts w:hint="eastAsia" w:ascii="宋体" w:hAnsi="宋体" w:eastAsia="宋体" w:cs="宋体"/>
          <w:sz w:val="24"/>
        </w:rPr>
        <w:t>拟采购</w:t>
      </w:r>
      <w:r>
        <w:rPr>
          <w:rFonts w:hint="eastAsia" w:ascii="宋体" w:hAnsi="宋体" w:eastAsia="宋体" w:cs="宋体"/>
          <w:b/>
          <w:bCs/>
          <w:sz w:val="24"/>
        </w:rPr>
        <w:t>环境友好能源材料国家重点实验室2024年全钢通风橱及通风系统采购项目</w:t>
      </w:r>
      <w:r>
        <w:rPr>
          <w:rFonts w:hint="eastAsia" w:ascii="宋体" w:hAnsi="宋体" w:eastAsia="宋体" w:cs="宋体"/>
          <w:sz w:val="24"/>
        </w:rPr>
        <w:t xml:space="preserve"> </w:t>
      </w:r>
      <w:r>
        <w:rPr>
          <w:rFonts w:hint="eastAsia" w:ascii="宋体" w:hAnsi="宋体" w:eastAsia="宋体" w:cs="宋体"/>
          <w:sz w:val="24"/>
          <w:lang w:val="zh-CN"/>
        </w:rPr>
        <w:t>，</w:t>
      </w:r>
      <w:r>
        <w:rPr>
          <w:rFonts w:hint="eastAsia" w:ascii="宋体" w:hAnsi="宋体" w:eastAsia="宋体" w:cs="宋体"/>
          <w:sz w:val="24"/>
        </w:rPr>
        <w:t>本项目为</w:t>
      </w:r>
      <w:r>
        <w:rPr>
          <w:rFonts w:hint="eastAsia" w:ascii="宋体" w:hAnsi="宋体" w:eastAsia="宋体" w:cs="宋体"/>
          <w:color w:val="000000"/>
          <w:sz w:val="30"/>
          <w:szCs w:val="30"/>
        </w:rPr>
        <w:t>1</w:t>
      </w:r>
      <w:r>
        <w:rPr>
          <w:rFonts w:hint="eastAsia" w:ascii="宋体" w:hAnsi="宋体" w:eastAsia="宋体" w:cs="宋体"/>
          <w:sz w:val="24"/>
        </w:rPr>
        <w:t>个包。</w:t>
      </w:r>
    </w:p>
    <w:p w14:paraId="2790E13E">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firstLine="236" w:firstLineChars="98"/>
        <w:outlineLvl w:val="1"/>
        <w:rPr>
          <w:rFonts w:hint="eastAsia" w:ascii="宋体" w:hAnsi="宋体" w:cs="宋体"/>
          <w:b/>
          <w:bCs/>
          <w:sz w:val="24"/>
        </w:rPr>
      </w:pPr>
      <w:r>
        <w:rPr>
          <w:rFonts w:hint="eastAsia" w:ascii="宋体" w:hAnsi="宋体" w:cs="宋体"/>
          <w:b/>
          <w:bCs/>
          <w:sz w:val="24"/>
        </w:rPr>
        <w:t>二、</w:t>
      </w:r>
      <w:r>
        <w:rPr>
          <w:rFonts w:hint="eastAsia" w:ascii="宋体" w:hAnsi="宋体" w:cs="宋体"/>
          <w:b/>
          <w:bCs/>
          <w:color w:val="auto"/>
          <w:sz w:val="24"/>
          <w:lang w:eastAsia="zh-CN"/>
        </w:rPr>
        <w:t>采购标的</w:t>
      </w:r>
      <w:r>
        <w:rPr>
          <w:rFonts w:hint="eastAsia" w:ascii="宋体" w:hAnsi="宋体" w:cs="宋体"/>
          <w:b/>
          <w:bCs/>
          <w:sz w:val="24"/>
        </w:rPr>
        <w:t>清单</w:t>
      </w:r>
    </w:p>
    <w:p w14:paraId="12F85C86">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firstLine="470" w:firstLineChars="196"/>
        <w:jc w:val="left"/>
        <w:rPr>
          <w:rFonts w:hint="eastAsia" w:ascii="宋体" w:hAnsi="宋体" w:cs="宋体"/>
          <w:sz w:val="24"/>
        </w:rPr>
      </w:pPr>
      <w:r>
        <w:rPr>
          <w:rFonts w:hint="eastAsia" w:ascii="宋体" w:hAnsi="宋体" w:cs="宋体"/>
          <w:sz w:val="24"/>
        </w:rPr>
        <w:t xml:space="preserve">                              </w:t>
      </w:r>
    </w:p>
    <w:tbl>
      <w:tblPr>
        <w:tblStyle w:val="8"/>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465"/>
        <w:gridCol w:w="816"/>
        <w:gridCol w:w="984"/>
        <w:gridCol w:w="982"/>
        <w:gridCol w:w="800"/>
        <w:gridCol w:w="783"/>
        <w:gridCol w:w="765"/>
        <w:gridCol w:w="945"/>
        <w:gridCol w:w="885"/>
        <w:gridCol w:w="930"/>
      </w:tblGrid>
      <w:tr w14:paraId="68E3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noWrap w:val="0"/>
            <w:vAlign w:val="center"/>
          </w:tcPr>
          <w:p w14:paraId="09D6B99F">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jc w:val="center"/>
              <w:outlineLvl w:val="1"/>
              <w:rPr>
                <w:rFonts w:hint="eastAsia" w:ascii="宋体" w:hAnsi="宋体" w:cs="宋体"/>
                <w:b/>
                <w:bCs/>
                <w:sz w:val="24"/>
                <w:highlight w:val="none"/>
              </w:rPr>
            </w:pPr>
            <w:r>
              <w:rPr>
                <w:rFonts w:hint="eastAsia" w:ascii="宋体" w:hAnsi="宋体" w:cs="宋体"/>
                <w:b/>
                <w:bCs/>
                <w:sz w:val="24"/>
                <w:highlight w:val="none"/>
              </w:rPr>
              <w:t>序号</w:t>
            </w:r>
          </w:p>
        </w:tc>
        <w:tc>
          <w:tcPr>
            <w:tcW w:w="1465" w:type="dxa"/>
            <w:noWrap w:val="0"/>
            <w:vAlign w:val="center"/>
          </w:tcPr>
          <w:p w14:paraId="46FB455B">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jc w:val="center"/>
              <w:outlineLvl w:val="1"/>
              <w:rPr>
                <w:rFonts w:hint="eastAsia" w:ascii="宋体" w:hAnsi="宋体" w:cs="宋体"/>
                <w:b/>
                <w:bCs/>
                <w:sz w:val="24"/>
                <w:highlight w:val="none"/>
              </w:rPr>
            </w:pPr>
            <w:r>
              <w:rPr>
                <w:rFonts w:hint="eastAsia" w:ascii="宋体" w:hAnsi="宋体" w:cs="宋体"/>
                <w:b/>
                <w:bCs/>
                <w:sz w:val="24"/>
                <w:highlight w:val="none"/>
              </w:rPr>
              <w:t>货物名称</w:t>
            </w:r>
          </w:p>
        </w:tc>
        <w:tc>
          <w:tcPr>
            <w:tcW w:w="816" w:type="dxa"/>
            <w:noWrap w:val="0"/>
            <w:vAlign w:val="center"/>
          </w:tcPr>
          <w:p w14:paraId="3E182EC3">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jc w:val="center"/>
              <w:outlineLvl w:val="1"/>
              <w:rPr>
                <w:rFonts w:hint="eastAsia" w:ascii="宋体" w:hAnsi="宋体" w:eastAsia="宋体" w:cs="宋体"/>
                <w:b/>
                <w:bCs/>
                <w:sz w:val="24"/>
                <w:highlight w:val="none"/>
                <w:lang w:eastAsia="zh-CN"/>
              </w:rPr>
            </w:pPr>
            <w:r>
              <w:rPr>
                <w:rFonts w:hint="eastAsia" w:ascii="宋体" w:hAnsi="宋体" w:cs="宋体"/>
                <w:b/>
                <w:bCs/>
                <w:sz w:val="24"/>
                <w:highlight w:val="none"/>
              </w:rPr>
              <w:t>数量</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计量单位</w:t>
            </w:r>
            <w:r>
              <w:rPr>
                <w:rFonts w:hint="eastAsia" w:ascii="宋体" w:hAnsi="宋体" w:cs="宋体"/>
                <w:b/>
                <w:bCs/>
                <w:sz w:val="24"/>
                <w:highlight w:val="none"/>
                <w:lang w:eastAsia="zh-CN"/>
              </w:rPr>
              <w:t>）</w:t>
            </w:r>
          </w:p>
        </w:tc>
        <w:tc>
          <w:tcPr>
            <w:tcW w:w="984" w:type="dxa"/>
            <w:noWrap w:val="0"/>
            <w:vAlign w:val="center"/>
          </w:tcPr>
          <w:p w14:paraId="2C5A3642">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jc w:val="center"/>
              <w:outlineLvl w:val="1"/>
              <w:rPr>
                <w:rFonts w:hint="default" w:ascii="宋体" w:hAnsi="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单价限价（元）</w:t>
            </w:r>
          </w:p>
        </w:tc>
        <w:tc>
          <w:tcPr>
            <w:tcW w:w="982" w:type="dxa"/>
            <w:noWrap w:val="0"/>
            <w:vAlign w:val="center"/>
          </w:tcPr>
          <w:p w14:paraId="138F6AFB">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jc w:val="center"/>
              <w:outlineLvl w:val="1"/>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合计</w:t>
            </w:r>
            <w:r>
              <w:rPr>
                <w:rFonts w:hint="eastAsia" w:ascii="宋体" w:hAnsi="宋体" w:cs="宋体"/>
                <w:b/>
                <w:bCs/>
                <w:color w:val="auto"/>
                <w:sz w:val="24"/>
                <w:highlight w:val="none"/>
                <w:lang w:val="en-US" w:eastAsia="zh-CN"/>
              </w:rPr>
              <w:t>金额（元）</w:t>
            </w:r>
          </w:p>
        </w:tc>
        <w:tc>
          <w:tcPr>
            <w:tcW w:w="800" w:type="dxa"/>
            <w:noWrap w:val="0"/>
            <w:vAlign w:val="center"/>
          </w:tcPr>
          <w:p w14:paraId="4395B672">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jc w:val="center"/>
              <w:outlineLvl w:val="1"/>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所属行业</w:t>
            </w:r>
          </w:p>
        </w:tc>
        <w:tc>
          <w:tcPr>
            <w:tcW w:w="783" w:type="dxa"/>
            <w:noWrap w:val="0"/>
            <w:vAlign w:val="center"/>
          </w:tcPr>
          <w:p w14:paraId="48190CE5">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jc w:val="center"/>
              <w:outlineLvl w:val="1"/>
              <w:rPr>
                <w:rFonts w:hint="default" w:ascii="宋体" w:hAnsi="宋体" w:cs="宋体"/>
                <w:b/>
                <w:bCs/>
                <w:sz w:val="24"/>
                <w:highlight w:val="none"/>
                <w:lang w:val="en-US" w:eastAsia="zh-CN"/>
              </w:rPr>
            </w:pPr>
            <w:r>
              <w:rPr>
                <w:rFonts w:hint="eastAsia" w:ascii="宋体" w:hAnsi="宋体" w:cs="宋体"/>
                <w:b/>
                <w:bCs/>
                <w:sz w:val="24"/>
                <w:highlight w:val="none"/>
                <w:lang w:val="en-US" w:eastAsia="zh-CN"/>
              </w:rPr>
              <w:t>是否是核心产品</w:t>
            </w:r>
          </w:p>
        </w:tc>
        <w:tc>
          <w:tcPr>
            <w:tcW w:w="765" w:type="dxa"/>
            <w:noWrap w:val="0"/>
            <w:vAlign w:val="center"/>
          </w:tcPr>
          <w:p w14:paraId="4F155A4C">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jc w:val="center"/>
              <w:outlineLvl w:val="1"/>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是否涉及 采购进口 产品</w:t>
            </w:r>
          </w:p>
        </w:tc>
        <w:tc>
          <w:tcPr>
            <w:tcW w:w="945" w:type="dxa"/>
            <w:noWrap w:val="0"/>
            <w:vAlign w:val="center"/>
          </w:tcPr>
          <w:p w14:paraId="7EA758CA">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jc w:val="center"/>
              <w:outlineLvl w:val="1"/>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是否涉及强制采购节能产品</w:t>
            </w:r>
          </w:p>
        </w:tc>
        <w:tc>
          <w:tcPr>
            <w:tcW w:w="885" w:type="dxa"/>
            <w:noWrap w:val="0"/>
            <w:vAlign w:val="center"/>
          </w:tcPr>
          <w:p w14:paraId="5B93194B">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jc w:val="center"/>
              <w:outlineLvl w:val="1"/>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是否涉及优先采购节能产品</w:t>
            </w:r>
          </w:p>
        </w:tc>
        <w:tc>
          <w:tcPr>
            <w:tcW w:w="930" w:type="dxa"/>
            <w:noWrap w:val="0"/>
            <w:vAlign w:val="center"/>
          </w:tcPr>
          <w:p w14:paraId="23EE4910">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jc w:val="center"/>
              <w:outlineLvl w:val="1"/>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是否涉及优先采购环境标志产品</w:t>
            </w:r>
          </w:p>
        </w:tc>
      </w:tr>
      <w:tr w14:paraId="0089B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62" w:type="dxa"/>
            <w:noWrap w:val="0"/>
            <w:vAlign w:val="center"/>
          </w:tcPr>
          <w:p w14:paraId="45D93612">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jc w:val="center"/>
              <w:outlineLvl w:val="1"/>
              <w:rPr>
                <w:rFonts w:hint="eastAsia" w:ascii="宋体" w:hAnsi="宋体" w:cs="宋体"/>
                <w:sz w:val="24"/>
                <w:highlight w:val="none"/>
              </w:rPr>
            </w:pPr>
            <w:r>
              <w:rPr>
                <w:rFonts w:hint="eastAsia" w:ascii="宋体" w:hAnsi="宋体" w:cs="宋体"/>
                <w:sz w:val="24"/>
                <w:highlight w:val="none"/>
              </w:rPr>
              <w:t>1</w:t>
            </w:r>
          </w:p>
        </w:tc>
        <w:tc>
          <w:tcPr>
            <w:tcW w:w="1465" w:type="dxa"/>
            <w:noWrap w:val="0"/>
            <w:vAlign w:val="center"/>
          </w:tcPr>
          <w:p w14:paraId="70AA1FFC">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jc w:val="center"/>
              <w:outlineLvl w:val="1"/>
              <w:rPr>
                <w:rFonts w:hint="eastAsia" w:ascii="宋体" w:hAnsi="宋体" w:eastAsia="宋体" w:cs="宋体"/>
                <w:sz w:val="24"/>
                <w:highlight w:val="none"/>
              </w:rPr>
            </w:pPr>
            <w:r>
              <w:rPr>
                <w:rFonts w:hint="eastAsia" w:ascii="宋体" w:hAnsi="宋体" w:eastAsia="宋体" w:cs="宋体"/>
                <w:sz w:val="24"/>
                <w:highlight w:val="none"/>
              </w:rPr>
              <w:t>全钢通风橱</w:t>
            </w:r>
          </w:p>
        </w:tc>
        <w:tc>
          <w:tcPr>
            <w:tcW w:w="816" w:type="dxa"/>
            <w:noWrap w:val="0"/>
            <w:vAlign w:val="center"/>
          </w:tcPr>
          <w:p w14:paraId="42C52D09">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jc w:val="center"/>
              <w:outlineLvl w:val="1"/>
              <w:rPr>
                <w:rFonts w:hint="eastAsia" w:ascii="宋体" w:hAnsi="宋体" w:eastAsia="宋体" w:cs="宋体"/>
                <w:sz w:val="24"/>
                <w:highlight w:val="none"/>
              </w:rPr>
            </w:pPr>
            <w:r>
              <w:rPr>
                <w:rFonts w:hint="eastAsia" w:ascii="宋体" w:hAnsi="宋体" w:eastAsia="宋体" w:cs="宋体"/>
                <w:sz w:val="24"/>
                <w:highlight w:val="none"/>
                <w:lang w:val="en-US" w:eastAsia="zh-CN"/>
              </w:rPr>
              <w:t>12套</w:t>
            </w:r>
          </w:p>
        </w:tc>
        <w:tc>
          <w:tcPr>
            <w:tcW w:w="984" w:type="dxa"/>
            <w:noWrap w:val="0"/>
            <w:vAlign w:val="center"/>
          </w:tcPr>
          <w:p w14:paraId="17C2FF36">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jc w:val="center"/>
              <w:outlineLvl w:val="1"/>
              <w:rPr>
                <w:rFonts w:hint="eastAsia" w:ascii="宋体" w:hAnsi="宋体" w:eastAsia="宋体" w:cs="宋体"/>
                <w:sz w:val="24"/>
                <w:highlight w:val="none"/>
              </w:rPr>
            </w:pPr>
            <w:r>
              <w:rPr>
                <w:rFonts w:hint="eastAsia" w:ascii="宋体" w:hAnsi="宋体" w:eastAsia="宋体" w:cs="宋体"/>
                <w:sz w:val="24"/>
                <w:highlight w:val="none"/>
                <w:lang w:val="en-US" w:eastAsia="zh-CN"/>
              </w:rPr>
              <w:t>31750</w:t>
            </w:r>
          </w:p>
        </w:tc>
        <w:tc>
          <w:tcPr>
            <w:tcW w:w="982" w:type="dxa"/>
            <w:noWrap w:val="0"/>
            <w:vAlign w:val="center"/>
          </w:tcPr>
          <w:p w14:paraId="7BB894C1">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jc w:val="center"/>
              <w:outlineLvl w:val="1"/>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381000</w:t>
            </w:r>
          </w:p>
        </w:tc>
        <w:tc>
          <w:tcPr>
            <w:tcW w:w="800" w:type="dxa"/>
            <w:noWrap w:val="0"/>
            <w:vAlign w:val="center"/>
          </w:tcPr>
          <w:p w14:paraId="089AC495">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jc w:val="center"/>
              <w:outlineLvl w:val="1"/>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工业</w:t>
            </w:r>
          </w:p>
        </w:tc>
        <w:tc>
          <w:tcPr>
            <w:tcW w:w="783" w:type="dxa"/>
            <w:noWrap w:val="0"/>
            <w:vAlign w:val="center"/>
          </w:tcPr>
          <w:p w14:paraId="50D9CFCC">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jc w:val="center"/>
              <w:outlineLvl w:val="1"/>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是</w:t>
            </w:r>
          </w:p>
        </w:tc>
        <w:tc>
          <w:tcPr>
            <w:tcW w:w="765" w:type="dxa"/>
            <w:noWrap w:val="0"/>
            <w:vAlign w:val="center"/>
          </w:tcPr>
          <w:p w14:paraId="33E3ED9E">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jc w:val="center"/>
              <w:outlineLvl w:val="1"/>
              <w:rPr>
                <w:rFonts w:hint="eastAsia" w:ascii="宋体" w:hAnsi="宋体" w:eastAsia="宋体" w:cs="宋体"/>
                <w:sz w:val="24"/>
                <w:highlight w:val="none"/>
              </w:rPr>
            </w:pPr>
            <w:r>
              <w:rPr>
                <w:rFonts w:hint="eastAsia" w:ascii="宋体" w:hAnsi="宋体" w:eastAsia="宋体" w:cs="宋体"/>
                <w:sz w:val="24"/>
                <w:highlight w:val="none"/>
                <w:lang w:val="en-US" w:eastAsia="zh-CN"/>
              </w:rPr>
              <w:t>否</w:t>
            </w:r>
          </w:p>
        </w:tc>
        <w:tc>
          <w:tcPr>
            <w:tcW w:w="945" w:type="dxa"/>
            <w:noWrap w:val="0"/>
            <w:vAlign w:val="center"/>
          </w:tcPr>
          <w:p w14:paraId="160D9C91">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jc w:val="center"/>
              <w:outlineLvl w:val="1"/>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否</w:t>
            </w:r>
          </w:p>
        </w:tc>
        <w:tc>
          <w:tcPr>
            <w:tcW w:w="885" w:type="dxa"/>
            <w:noWrap w:val="0"/>
            <w:vAlign w:val="center"/>
          </w:tcPr>
          <w:p w14:paraId="43C3921E">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jc w:val="center"/>
              <w:outlineLvl w:val="1"/>
              <w:rPr>
                <w:rFonts w:hint="eastAsia" w:ascii="宋体" w:hAnsi="宋体" w:eastAsia="宋体" w:cs="宋体"/>
                <w:sz w:val="24"/>
                <w:highlight w:val="none"/>
              </w:rPr>
            </w:pPr>
            <w:r>
              <w:rPr>
                <w:rFonts w:hint="eastAsia" w:ascii="宋体" w:hAnsi="宋体" w:eastAsia="宋体" w:cs="宋体"/>
                <w:sz w:val="24"/>
                <w:highlight w:val="none"/>
                <w:lang w:val="en-US" w:eastAsia="zh-CN"/>
              </w:rPr>
              <w:t>否</w:t>
            </w:r>
          </w:p>
        </w:tc>
        <w:tc>
          <w:tcPr>
            <w:tcW w:w="930" w:type="dxa"/>
            <w:noWrap w:val="0"/>
            <w:vAlign w:val="center"/>
          </w:tcPr>
          <w:p w14:paraId="53B76ECD">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jc w:val="center"/>
              <w:outlineLvl w:val="1"/>
              <w:rPr>
                <w:rFonts w:hint="eastAsia" w:ascii="宋体" w:hAnsi="宋体" w:eastAsia="宋体" w:cs="宋体"/>
                <w:sz w:val="24"/>
                <w:highlight w:val="none"/>
              </w:rPr>
            </w:pPr>
            <w:r>
              <w:rPr>
                <w:rFonts w:hint="eastAsia" w:ascii="宋体" w:hAnsi="宋体" w:eastAsia="宋体" w:cs="宋体"/>
                <w:sz w:val="24"/>
                <w:highlight w:val="none"/>
                <w:lang w:val="en-US" w:eastAsia="zh-CN"/>
              </w:rPr>
              <w:t>否</w:t>
            </w:r>
          </w:p>
        </w:tc>
      </w:tr>
    </w:tbl>
    <w:p w14:paraId="1B37DB15">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rPr>
          <w:rFonts w:hint="eastAsia" w:ascii="宋体" w:hAnsi="宋体" w:cs="宋体"/>
        </w:rPr>
      </w:pPr>
    </w:p>
    <w:p w14:paraId="04772DCF">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firstLine="236" w:firstLineChars="98"/>
        <w:outlineLvl w:val="1"/>
        <w:rPr>
          <w:rFonts w:hint="eastAsia" w:ascii="宋体" w:hAnsi="宋体" w:cs="宋体"/>
          <w:b/>
          <w:bCs/>
          <w:color w:val="auto"/>
          <w:sz w:val="24"/>
          <w:highlight w:val="none"/>
        </w:rPr>
      </w:pPr>
      <w:r>
        <w:rPr>
          <w:rFonts w:hint="eastAsia" w:ascii="宋体" w:hAnsi="宋体" w:cs="宋体"/>
          <w:b/>
          <w:bCs/>
          <w:sz w:val="24"/>
          <w:highlight w:val="none"/>
        </w:rPr>
        <w:t>三、</w:t>
      </w:r>
      <w:bookmarkEnd w:id="1"/>
      <w:r>
        <w:rPr>
          <w:rFonts w:hint="eastAsia" w:ascii="宋体" w:hAnsi="宋体" w:cs="宋体"/>
          <w:b/>
          <w:bCs/>
          <w:color w:val="auto"/>
          <w:sz w:val="24"/>
          <w:highlight w:val="none"/>
        </w:rPr>
        <w:t>技术</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服务</w:t>
      </w:r>
      <w:r>
        <w:rPr>
          <w:rFonts w:hint="eastAsia" w:ascii="宋体" w:hAnsi="宋体" w:cs="宋体"/>
          <w:b/>
          <w:bCs/>
          <w:color w:val="auto"/>
          <w:sz w:val="24"/>
          <w:highlight w:val="none"/>
          <w:lang w:eastAsia="zh-CN"/>
        </w:rPr>
        <w:t>要</w:t>
      </w:r>
      <w:r>
        <w:rPr>
          <w:rFonts w:hint="eastAsia" w:ascii="宋体" w:hAnsi="宋体" w:cs="宋体"/>
          <w:b/>
          <w:bCs/>
          <w:color w:val="auto"/>
          <w:sz w:val="24"/>
          <w:highlight w:val="none"/>
        </w:rPr>
        <w:t>求</w:t>
      </w:r>
    </w:p>
    <w:p w14:paraId="65150B4A">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firstLine="236" w:firstLineChars="98"/>
        <w:outlineLvl w:val="1"/>
        <w:rPr>
          <w:rFonts w:hint="eastAsia" w:ascii="宋体" w:hAnsi="宋体" w:cs="宋体"/>
          <w:b/>
          <w:bCs/>
          <w:sz w:val="24"/>
          <w:highlight w:val="none"/>
        </w:rPr>
      </w:pPr>
      <w:r>
        <w:rPr>
          <w:rFonts w:hint="eastAsia" w:ascii="宋体" w:hAnsi="宋体" w:cs="宋体"/>
          <w:b/>
          <w:bCs/>
          <w:sz w:val="24"/>
          <w:highlight w:val="none"/>
        </w:rPr>
        <w:t>共34条技术参数与性能指标，其中，带“▲”条款为重要参数（共6项）；未标识符号的参数为一般参数（共28项）。</w:t>
      </w:r>
    </w:p>
    <w:tbl>
      <w:tblPr>
        <w:tblStyle w:val="8"/>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8504"/>
      </w:tblGrid>
      <w:tr w14:paraId="03F1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2" w:type="dxa"/>
            <w:noWrap w:val="0"/>
            <w:vAlign w:val="center"/>
          </w:tcPr>
          <w:p w14:paraId="4F60AC0A">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jc w:val="center"/>
              <w:outlineLvl w:val="1"/>
              <w:rPr>
                <w:rFonts w:hint="eastAsia" w:ascii="宋体" w:hAnsi="宋体" w:eastAsia="宋体" w:cs="宋体"/>
                <w:b/>
                <w:color w:val="auto"/>
                <w:kern w:val="0"/>
                <w:sz w:val="24"/>
                <w:szCs w:val="24"/>
                <w:lang w:val="en-US" w:eastAsia="zh-CN"/>
              </w:rPr>
            </w:pPr>
            <w:r>
              <w:rPr>
                <w:rFonts w:hint="eastAsia" w:ascii="宋体" w:hAnsi="宋体" w:eastAsia="宋体" w:cs="宋体"/>
                <w:b/>
                <w:bCs/>
                <w:sz w:val="24"/>
                <w:szCs w:val="24"/>
                <w:highlight w:val="none"/>
              </w:rPr>
              <w:t>货物名称</w:t>
            </w:r>
          </w:p>
        </w:tc>
        <w:tc>
          <w:tcPr>
            <w:tcW w:w="8504" w:type="dxa"/>
            <w:noWrap w:val="0"/>
            <w:vAlign w:val="center"/>
          </w:tcPr>
          <w:p w14:paraId="659BCE74">
            <w:pPr>
              <w:widowControl/>
              <w:spacing w:line="360" w:lineRule="exact"/>
              <w:jc w:val="center"/>
              <w:rPr>
                <w:rFonts w:hint="eastAsia" w:ascii="宋体" w:hAnsi="宋体" w:eastAsia="宋体" w:cs="宋体"/>
                <w:b/>
                <w:color w:val="auto"/>
                <w:kern w:val="0"/>
                <w:sz w:val="24"/>
                <w:szCs w:val="24"/>
                <w:lang w:val="en-US" w:eastAsia="zh-CN"/>
              </w:rPr>
            </w:pPr>
            <w:r>
              <w:rPr>
                <w:rFonts w:hint="eastAsia" w:ascii="宋体" w:hAnsi="宋体" w:eastAsia="宋体" w:cs="宋体"/>
                <w:b/>
                <w:bCs/>
                <w:color w:val="auto"/>
                <w:kern w:val="0"/>
                <w:sz w:val="24"/>
                <w:szCs w:val="24"/>
                <w:lang w:val="en-US" w:eastAsia="zh-CN"/>
              </w:rPr>
              <w:t>技术参数</w:t>
            </w:r>
          </w:p>
        </w:tc>
      </w:tr>
      <w:tr w14:paraId="0EE3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2" w:type="dxa"/>
            <w:noWrap w:val="0"/>
            <w:vAlign w:val="center"/>
          </w:tcPr>
          <w:p w14:paraId="11CC3843">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jc w:val="center"/>
              <w:outlineLvl w:val="1"/>
              <w:rPr>
                <w:rFonts w:hint="eastAsia" w:ascii="宋体" w:hAnsi="宋体" w:eastAsia="宋体" w:cs="宋体"/>
                <w:b/>
                <w:bCs/>
                <w:color w:val="auto"/>
                <w:kern w:val="0"/>
                <w:sz w:val="24"/>
                <w:szCs w:val="24"/>
                <w:lang w:val="en-US" w:eastAsia="zh-CN"/>
              </w:rPr>
            </w:pPr>
            <w:r>
              <w:rPr>
                <w:rFonts w:hint="eastAsia" w:ascii="宋体" w:hAnsi="宋体" w:eastAsia="宋体" w:cs="宋体"/>
                <w:sz w:val="24"/>
                <w:szCs w:val="24"/>
                <w:highlight w:val="none"/>
              </w:rPr>
              <w:t>全钢通风橱</w:t>
            </w:r>
          </w:p>
        </w:tc>
        <w:tc>
          <w:tcPr>
            <w:tcW w:w="8504" w:type="dxa"/>
            <w:noWrap w:val="0"/>
            <w:vAlign w:val="center"/>
          </w:tcPr>
          <w:p w14:paraId="45F4D8D9">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lang w:val="en-US" w:eastAsia="zh-CN"/>
              </w:rPr>
              <w:t>①</w:t>
            </w:r>
            <w:r>
              <w:rPr>
                <w:rFonts w:hint="eastAsia" w:ascii="宋体" w:hAnsi="宋体" w:eastAsia="宋体" w:cs="宋体"/>
                <w:color w:val="auto"/>
                <w:sz w:val="24"/>
                <w:szCs w:val="24"/>
                <w:lang w:val="en-US" w:eastAsia="zh-CN"/>
              </w:rPr>
              <w:t>规格：通风橱整体尺寸（W宽度×D深度×H高度）：1500×915×23</w:t>
            </w:r>
            <w:r>
              <w:rPr>
                <w:rFonts w:hint="eastAsia" w:ascii="宋体" w:hAnsi="宋体" w:eastAsia="宋体" w:cs="宋体"/>
                <w:color w:val="auto"/>
                <w:sz w:val="24"/>
                <w:szCs w:val="24"/>
                <w:highlight w:val="none"/>
                <w:lang w:val="en-US" w:eastAsia="zh-CN"/>
              </w:rPr>
              <w:t>50mm±5mm，其中下柜含台面高度为850mm±5mm，上柜高度1500mm±5mm，后置式配重。</w:t>
            </w:r>
          </w:p>
          <w:p w14:paraId="1073584C">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钢板材质：采用不低于1.2mm厚的冷轧钢板，表面经过酸洗、除油、磷化处理，环氧树脂静电喷涂，耐潮，耐腐蚀，涂层厚度不低于70μm。</w:t>
            </w:r>
          </w:p>
          <w:p w14:paraId="3D41769C">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③</w:t>
            </w:r>
            <w:r>
              <w:rPr>
                <w:rFonts w:hint="eastAsia" w:ascii="宋体" w:hAnsi="宋体" w:eastAsia="宋体" w:cs="宋体"/>
                <w:color w:val="auto"/>
                <w:sz w:val="24"/>
                <w:szCs w:val="24"/>
                <w:highlight w:val="none"/>
                <w:lang w:val="en-US" w:eastAsia="zh-CN"/>
              </w:rPr>
              <w:t>面板：</w:t>
            </w:r>
          </w:p>
          <w:p w14:paraId="519D79B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（1）采用不低于25mm厚的一体实芯黑胚体实验室工业蝶形陶瓷台面板，整个台面一体高温烧制成型，总厚度不低于25mm,不能采用拼接或者后期加厚方式加工，台面耐强腐蚀，耐高温，耐磨，便于清洁。</w:t>
            </w:r>
          </w:p>
          <w:p w14:paraId="1D6AFDFE">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▲（2）耐化学性能：检测样品为一体实芯黑色胚体陶瓷板，参照GB/T17657-2022，检测内容为62项常用化学试剂，检测结果为：达到至少60项试剂检测台面无明显变化。</w:t>
            </w:r>
            <w:r>
              <w:rPr>
                <w:rFonts w:hint="eastAsia" w:ascii="宋体" w:hAnsi="宋体" w:eastAsia="宋体" w:cs="宋体"/>
                <w:b/>
                <w:bCs/>
                <w:color w:val="auto"/>
                <w:sz w:val="24"/>
                <w:szCs w:val="24"/>
                <w:highlight w:val="none"/>
                <w:lang w:val="en-US" w:eastAsia="zh-CN"/>
              </w:rPr>
              <w:t>（需提供经国家认可的第三方检测机构出具的检测报告复印件并加盖投标人公章）</w:t>
            </w:r>
          </w:p>
          <w:p w14:paraId="7276D6D1">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▲（3）外观性能：经外观性能检测，检测样品为一体实芯黑色坯体陶瓷板，测试方法为将样品敲碎后观察样品状态，检测结果为：坯体为黑色</w:t>
            </w:r>
            <w:r>
              <w:rPr>
                <w:rFonts w:hint="eastAsia" w:ascii="宋体" w:hAnsi="宋体" w:eastAsia="宋体" w:cs="宋体"/>
                <w:color w:val="auto"/>
                <w:sz w:val="24"/>
                <w:szCs w:val="24"/>
                <w:highlight w:val="none"/>
                <w:lang w:val="en-US" w:eastAsia="zh-CN"/>
              </w:rPr>
              <w:t>，样品釉面与坯体之间无断裂、无脱层、无气泡、无杂色。</w:t>
            </w:r>
            <w:r>
              <w:rPr>
                <w:rFonts w:hint="eastAsia" w:ascii="宋体" w:hAnsi="宋体" w:eastAsia="宋体" w:cs="宋体"/>
                <w:b/>
                <w:bCs/>
                <w:color w:val="auto"/>
                <w:sz w:val="24"/>
                <w:szCs w:val="24"/>
                <w:highlight w:val="none"/>
                <w:lang w:val="en-US" w:eastAsia="zh-CN"/>
              </w:rPr>
              <w:t>（需提供经国家认可的第三方检测机构出具的检测报告复印件并加盖投标人公章）</w:t>
            </w:r>
          </w:p>
          <w:p w14:paraId="28B71601">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▲（4）重金属含量，需提供检测依据为GB/T4100-2015，检测项目为：铅溶出量、镉溶出量；检测结果为：未检出。</w:t>
            </w:r>
            <w:r>
              <w:rPr>
                <w:rFonts w:hint="eastAsia" w:ascii="宋体" w:hAnsi="宋体" w:eastAsia="宋体" w:cs="宋体"/>
                <w:b/>
                <w:bCs/>
                <w:color w:val="auto"/>
                <w:sz w:val="24"/>
                <w:szCs w:val="24"/>
                <w:highlight w:val="none"/>
                <w:lang w:val="en-US" w:eastAsia="zh-CN"/>
              </w:rPr>
              <w:t>（需提供经国家认可的第三方检测机构出具的检测报告复印件并加盖投标人公章）</w:t>
            </w:r>
          </w:p>
          <w:p w14:paraId="0714CBE1">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▲（5）耐光色牢度性能：参照GB/T 17657-2022，检测样品为：一体实芯黑色胚体陶瓷板，检测结果为：耐光色牢度≥4级。</w:t>
            </w:r>
            <w:r>
              <w:rPr>
                <w:rFonts w:hint="eastAsia" w:ascii="宋体" w:hAnsi="宋体" w:eastAsia="宋体" w:cs="宋体"/>
                <w:b/>
                <w:bCs/>
                <w:color w:val="auto"/>
                <w:sz w:val="24"/>
                <w:szCs w:val="24"/>
                <w:highlight w:val="none"/>
                <w:lang w:val="en-US" w:eastAsia="zh-CN"/>
              </w:rPr>
              <w:t>（需提供经国家认可的第三方检测机构出具的检测报告复印件并加盖投标人公章）</w:t>
            </w:r>
          </w:p>
          <w:p w14:paraId="3E1A0D2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▲（6）为确保台面的放射性核素限量要求达标：参照GB6566-2010《建筑材料放射性核素限量》标准检测，检测结果符合：内照射指数≤0.3。</w:t>
            </w:r>
            <w:r>
              <w:rPr>
                <w:rFonts w:hint="eastAsia" w:ascii="宋体" w:hAnsi="宋体" w:eastAsia="宋体" w:cs="宋体"/>
                <w:b/>
                <w:bCs/>
                <w:color w:val="auto"/>
                <w:sz w:val="24"/>
                <w:szCs w:val="24"/>
                <w:highlight w:val="none"/>
                <w:lang w:val="en-US" w:eastAsia="zh-CN"/>
              </w:rPr>
              <w:t>（需提供经国家认可的第三方检测机构出具的检测报告复印件并加盖投标人公章）</w:t>
            </w:r>
          </w:p>
          <w:p w14:paraId="3A44E2AF">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lang w:val="en-US" w:eastAsia="zh-CN"/>
              </w:rPr>
              <w:t>▲（7）光泽度：参照GB/T 13891-2008，检测样品</w:t>
            </w:r>
            <w:r>
              <w:rPr>
                <w:rFonts w:hint="eastAsia" w:ascii="宋体" w:hAnsi="宋体" w:eastAsia="宋体" w:cs="宋体"/>
                <w:color w:val="auto"/>
                <w:sz w:val="24"/>
                <w:szCs w:val="24"/>
                <w:highlight w:val="none"/>
                <w:lang w:val="en-US" w:eastAsia="zh-CN"/>
              </w:rPr>
              <w:t>为一体实芯黑色坯体陶瓷板检测结果为≥58。</w:t>
            </w:r>
            <w:r>
              <w:rPr>
                <w:rFonts w:hint="eastAsia" w:ascii="宋体" w:hAnsi="宋体" w:eastAsia="宋体" w:cs="宋体"/>
                <w:b/>
                <w:bCs/>
                <w:color w:val="auto"/>
                <w:sz w:val="24"/>
                <w:szCs w:val="24"/>
                <w:highlight w:val="none"/>
                <w:lang w:val="en-US" w:eastAsia="zh-CN"/>
              </w:rPr>
              <w:t>（需提供经国家认可的第三方检测机构出具的检测报告复印件并加盖投标人公章）</w:t>
            </w:r>
          </w:p>
          <w:p w14:paraId="5F9FC06C">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④</w:t>
            </w:r>
            <w:r>
              <w:rPr>
                <w:rFonts w:hint="eastAsia" w:ascii="宋体" w:hAnsi="宋体" w:eastAsia="宋体" w:cs="宋体"/>
                <w:color w:val="auto"/>
                <w:sz w:val="24"/>
                <w:szCs w:val="24"/>
                <w:lang w:val="en-US" w:eastAsia="zh-CN"/>
              </w:rPr>
              <w:t>下柜：采用合金C型把手，304不锈钢合页，含一层隔板，带抽气功能，面板留有多个一次冲压的抽气孔。</w:t>
            </w:r>
          </w:p>
          <w:p w14:paraId="5769DE90">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⑤</w:t>
            </w:r>
            <w:r>
              <w:rPr>
                <w:rFonts w:hint="eastAsia" w:ascii="宋体" w:hAnsi="宋体" w:eastAsia="宋体" w:cs="宋体"/>
                <w:color w:val="auto"/>
                <w:sz w:val="24"/>
                <w:szCs w:val="24"/>
                <w:lang w:val="en-US" w:eastAsia="zh-CN"/>
              </w:rPr>
              <w:t>导流板：采用耐腐蚀的高分子材料或类似材料，置于通风橱操作区内侧，采用三段式导流板设计，使操作区污染气体作层流运动，无气流死角，不会产生紊流或涡流现象，能迅速将实验过程中产生的不同比重的有毒有害气体排出。</w:t>
            </w:r>
          </w:p>
          <w:p w14:paraId="6A5D3655">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⑥</w:t>
            </w:r>
            <w:r>
              <w:rPr>
                <w:rFonts w:hint="eastAsia" w:ascii="宋体" w:hAnsi="宋体" w:eastAsia="宋体" w:cs="宋体"/>
                <w:color w:val="auto"/>
                <w:sz w:val="24"/>
                <w:szCs w:val="24"/>
                <w:lang w:val="en-US" w:eastAsia="zh-CN"/>
              </w:rPr>
              <w:t xml:space="preserve">内衬板：采用耐腐蚀的高分子材料或类似材料，具有良好的化学抗性，能抗化学品溅出及化学烟熏，导流板和内衬板材质一致，引导通风橱气体快速排出柜外，进入排风管道。 </w:t>
            </w:r>
          </w:p>
          <w:p w14:paraId="0A0F28C1">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⑦</w:t>
            </w:r>
            <w:r>
              <w:rPr>
                <w:rFonts w:hint="eastAsia" w:ascii="宋体" w:hAnsi="宋体" w:eastAsia="宋体" w:cs="宋体"/>
                <w:color w:val="auto"/>
                <w:sz w:val="24"/>
                <w:szCs w:val="24"/>
                <w:lang w:val="en-US" w:eastAsia="zh-CN"/>
              </w:rPr>
              <w:t>安全视窗：采用【同步带】移门结构，铝合金+PP材质, ≥6mm钢化玻璃制作（外贴防爆膜），全视窗的移动距离为≥750mm，操作人员可实时监测实验情况，以确保实验安全。</w:t>
            </w:r>
          </w:p>
          <w:p w14:paraId="771589CC">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⑧</w:t>
            </w:r>
            <w:r>
              <w:rPr>
                <w:rFonts w:hint="eastAsia" w:ascii="宋体" w:hAnsi="宋体" w:eastAsia="宋体" w:cs="宋体"/>
                <w:color w:val="auto"/>
                <w:sz w:val="24"/>
                <w:szCs w:val="24"/>
                <w:lang w:val="en-US" w:eastAsia="zh-CN"/>
              </w:rPr>
              <w:t>通风橱有良好的密封性能，内部密封防止气体泄漏，不会使液体积留。</w:t>
            </w:r>
          </w:p>
          <w:p w14:paraId="66DB8DCB">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⑨</w:t>
            </w:r>
            <w:r>
              <w:rPr>
                <w:rFonts w:hint="eastAsia" w:ascii="宋体" w:hAnsi="宋体" w:eastAsia="宋体" w:cs="宋体"/>
                <w:color w:val="auto"/>
                <w:sz w:val="24"/>
                <w:szCs w:val="24"/>
                <w:lang w:val="en-US" w:eastAsia="zh-CN"/>
              </w:rPr>
              <w:t>照明装置：采用安全玻璃面板使电气和操作区间隔离密封，避免与化学物质接触；配备LED日光灯，确保操作区间的照度≥500Lux。</w:t>
            </w:r>
          </w:p>
          <w:p w14:paraId="13731C88">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⑩</w:t>
            </w:r>
            <w:r>
              <w:rPr>
                <w:rFonts w:hint="eastAsia" w:ascii="宋体" w:hAnsi="宋体" w:eastAsia="宋体" w:cs="宋体"/>
                <w:color w:val="auto"/>
                <w:sz w:val="24"/>
                <w:szCs w:val="24"/>
                <w:lang w:val="en-US" w:eastAsia="zh-CN"/>
              </w:rPr>
              <w:t>遥控水阀：2 组，分体式通风橱专用水阀，全铜材质，陶瓷阀芯，表面为环氧树脂粉末烤漆，耐酸碱腐蚀，上柜两边各1 组；遥控气阀：2 组，分体式通风橱专用气阀，全铜材质，陶瓷阀芯，表面为环氧树脂静电喷涂，耐酸碱腐蚀；含耐高压气管及配件，上柜两边各1 组；防水防尘插座：8 个；</w:t>
            </w:r>
          </w:p>
          <w:p w14:paraId="6FD7059A">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⑪</w:t>
            </w:r>
            <w:r>
              <w:rPr>
                <w:rFonts w:hint="eastAsia" w:ascii="宋体" w:hAnsi="宋体" w:eastAsia="宋体" w:cs="宋体"/>
                <w:color w:val="auto"/>
                <w:sz w:val="24"/>
                <w:szCs w:val="24"/>
                <w:lang w:val="en-US" w:eastAsia="zh-CN"/>
              </w:rPr>
              <w:t>合成实验架：采用耐腐蚀高分子材料。</w:t>
            </w:r>
          </w:p>
          <w:p w14:paraId="2E81954C">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⑫</w:t>
            </w:r>
            <w:r>
              <w:rPr>
                <w:rFonts w:hint="eastAsia" w:ascii="宋体" w:hAnsi="宋体" w:eastAsia="宋体" w:cs="宋体"/>
                <w:color w:val="auto"/>
                <w:sz w:val="24"/>
                <w:szCs w:val="24"/>
                <w:lang w:val="en-US" w:eastAsia="zh-CN"/>
              </w:rPr>
              <w:t>配套变风量控制工位×12套：</w:t>
            </w:r>
          </w:p>
          <w:p w14:paraId="52541BEE">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通风橱变风量控制系统：采用或通过位移或面风速系统，有效解决通风橱门前空气扰流引起的面风速变化自动调整平衡，保证设定的面风速。无内部传感器，测量精度无漂移，并不会因传感器受排风污染而降低测量可靠性。</w:t>
            </w:r>
          </w:p>
          <w:p w14:paraId="67FAA31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排风快速反应，风量控制系统【响应完成时间】≤1秒，并能够确保提拉窗在开启的变化过程中，没有烟雾泄漏安全问题；相邻通通风橱的提拉窗开度变化，没有明显的面风速相互影响，在达到规定的排风量和平均面风</w:t>
            </w:r>
            <w:r>
              <w:rPr>
                <w:rFonts w:hint="eastAsia" w:ascii="宋体" w:hAnsi="宋体" w:eastAsia="宋体" w:cs="宋体"/>
                <w:color w:val="auto"/>
                <w:sz w:val="24"/>
                <w:szCs w:val="24"/>
                <w:highlight w:val="none"/>
                <w:lang w:val="en-US" w:eastAsia="zh-CN"/>
              </w:rPr>
              <w:t>速保持0.5±15% m/s的条件下，</w:t>
            </w:r>
            <w:r>
              <w:rPr>
                <w:rFonts w:hint="eastAsia" w:ascii="宋体" w:hAnsi="宋体" w:eastAsia="宋体" w:cs="宋体"/>
                <w:color w:val="auto"/>
                <w:sz w:val="24"/>
                <w:szCs w:val="24"/>
                <w:lang w:val="en-US" w:eastAsia="zh-CN"/>
              </w:rPr>
              <w:t>通风橱</w:t>
            </w:r>
            <w:r>
              <w:rPr>
                <w:rFonts w:hint="eastAsia" w:ascii="宋体" w:hAnsi="宋体" w:eastAsia="宋体" w:cs="宋体"/>
                <w:color w:val="auto"/>
                <w:sz w:val="24"/>
                <w:szCs w:val="24"/>
                <w:highlight w:val="none"/>
                <w:lang w:val="en-US" w:eastAsia="zh-CN"/>
              </w:rPr>
              <w:t>阻力小于70帕斯卡。平均面风速的变化只发生在视窗移动时；一旦视窗移动到一定位置，平均面风速随即恢复至0.5±15% m/s，响应速度≤1</w:t>
            </w:r>
            <w:r>
              <w:rPr>
                <w:rFonts w:hint="eastAsia" w:ascii="宋体" w:hAnsi="宋体" w:eastAsia="宋体" w:cs="宋体"/>
                <w:color w:val="auto"/>
                <w:sz w:val="24"/>
                <w:szCs w:val="24"/>
                <w:lang w:val="en-US" w:eastAsia="zh-CN"/>
              </w:rPr>
              <w:t>秒。</w:t>
            </w:r>
          </w:p>
          <w:p w14:paraId="2CA6D5E0">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任何的开度组合方式情况下，任何一个通风橱的提拉窗开启区域平均面风速（测试12个等分点位）达到【0.5±15%m/s】范围；变频排风机在所管辖的排风柜提拉窗开度极大与极小情况下，变频器的工作频率变化量大于等于15赫兹。</w:t>
            </w:r>
          </w:p>
          <w:p w14:paraId="0C024C28">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（4）每个通风橱提拉视窗独立对应一个变风量调节阀，在通风橱排风量与通风橱提拉视窗开度之间建立全程、无级、实时、高响应的变风量控制。</w:t>
            </w:r>
          </w:p>
          <w:p w14:paraId="28BBBD5E">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（5）变频排风机的【实际排风量/排风机转速】与排风柜的【提拉窗】的总开度建立高响应灵敏度的直接关联，并以这种对应关系为基础，实现变风量控制效果。 </w:t>
            </w:r>
          </w:p>
          <w:p w14:paraId="5E47F2F8">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（6）除了每个排风柜的提拉窗都有独立对应的风量调节执行系统以外，汇总排风系统的排风机，实际</w:t>
            </w:r>
            <w:r>
              <w:rPr>
                <w:rFonts w:hint="eastAsia" w:ascii="宋体" w:hAnsi="宋体" w:eastAsia="宋体" w:cs="宋体"/>
                <w:color w:val="auto"/>
                <w:sz w:val="24"/>
                <w:szCs w:val="24"/>
                <w:highlight w:val="none"/>
                <w:lang w:val="en-US" w:eastAsia="zh-CN"/>
              </w:rPr>
              <w:t>运行速度，需要与其所管辖的全部排风柜的提拉窗总开度建立实时、无级关联。</w:t>
            </w:r>
          </w:p>
          <w:p w14:paraId="7E77E4B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（7）保证实验室在负压状态下工作（建立负压梯度），气流方向由实验室外→实验室内→通</w:t>
            </w:r>
            <w:r>
              <w:rPr>
                <w:rFonts w:hint="eastAsia" w:ascii="宋体" w:hAnsi="宋体" w:eastAsia="宋体" w:cs="宋体"/>
                <w:color w:val="auto"/>
                <w:sz w:val="24"/>
                <w:szCs w:val="24"/>
                <w:lang w:val="en-US" w:eastAsia="zh-CN"/>
              </w:rPr>
              <w:t>通风橱</w:t>
            </w:r>
            <w:r>
              <w:rPr>
                <w:rFonts w:hint="eastAsia" w:ascii="宋体" w:hAnsi="宋体" w:eastAsia="宋体" w:cs="宋体"/>
                <w:color w:val="auto"/>
                <w:sz w:val="24"/>
                <w:szCs w:val="24"/>
                <w:highlight w:val="none"/>
                <w:lang w:val="en-US" w:eastAsia="zh-CN"/>
              </w:rPr>
              <w:t>流动，当</w:t>
            </w:r>
            <w:r>
              <w:rPr>
                <w:rFonts w:hint="eastAsia" w:ascii="宋体" w:hAnsi="宋体" w:eastAsia="宋体" w:cs="宋体"/>
                <w:color w:val="auto"/>
                <w:sz w:val="24"/>
                <w:szCs w:val="24"/>
                <w:lang w:val="en-US" w:eastAsia="zh-CN"/>
              </w:rPr>
              <w:t xml:space="preserve">通风橱门关闭后，排风系统要维持通风橱的最小排风量或实验室最小换气次数,以满足安全要求。 </w:t>
            </w:r>
          </w:p>
          <w:p w14:paraId="6D65FBF1">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（8）压力传感器：防腐蚀耐酸碱，误差精度及温度漂移小，压力范围小（-300Pa~100Pa）监测控制管道系统所要求的负压值。</w:t>
            </w:r>
          </w:p>
          <w:p w14:paraId="03A73C1E">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（9）变风量风阀：阻燃PP或PVC材质等防腐材质。</w:t>
            </w:r>
          </w:p>
          <w:p w14:paraId="191AB443">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⑬</w:t>
            </w:r>
            <w:r>
              <w:rPr>
                <w:rFonts w:hint="eastAsia" w:ascii="宋体" w:hAnsi="宋体" w:eastAsia="宋体" w:cs="宋体"/>
                <w:color w:val="auto"/>
                <w:sz w:val="24"/>
                <w:szCs w:val="24"/>
                <w:lang w:val="en-US" w:eastAsia="zh-CN"/>
              </w:rPr>
              <w:t>配套PP排风管（按现场情况敷设）：</w:t>
            </w:r>
          </w:p>
          <w:p w14:paraId="0A005EE6">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（1）室内外排风管道采用优质耐酸碱腐蚀的PP管道。耐火等级V2级。</w:t>
            </w:r>
          </w:p>
          <w:p w14:paraId="4466F391">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（2）壁</w:t>
            </w:r>
            <w:r>
              <w:rPr>
                <w:rFonts w:hint="eastAsia" w:ascii="宋体" w:hAnsi="宋体" w:eastAsia="宋体" w:cs="宋体"/>
                <w:color w:val="auto"/>
                <w:sz w:val="24"/>
                <w:szCs w:val="24"/>
                <w:highlight w:val="none"/>
                <w:lang w:val="en-US" w:eastAsia="zh-CN"/>
              </w:rPr>
              <w:t>厚≥6mm；法兰翻边宽度≥50mm；法兰翻边厚度≥10mm。</w:t>
            </w:r>
          </w:p>
          <w:p w14:paraId="2758C52E">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（3）盲板厚度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lang w:val="en-US" w:eastAsia="zh-CN"/>
              </w:rPr>
              <w:t>6mm；外观平整，尺寸符合设计要求；法兰连接采用对穿螺丝紧固，法兰碰触面夹嵌防火密封嵌条，紧固后的法兰拼接缝；风管安装吊杆间距符合行业质量技术规范。</w:t>
            </w:r>
          </w:p>
          <w:p w14:paraId="2BD22F1F">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val="en-US" w:eastAsia="zh-CN"/>
              </w:rPr>
              <w:t>⑭</w:t>
            </w:r>
            <w:r>
              <w:rPr>
                <w:rFonts w:hint="eastAsia" w:ascii="宋体" w:hAnsi="宋体" w:eastAsia="宋体" w:cs="宋体"/>
                <w:color w:val="auto"/>
                <w:sz w:val="24"/>
                <w:szCs w:val="24"/>
                <w:lang w:val="en-US" w:eastAsia="zh-CN"/>
              </w:rPr>
              <w:t>配套变风量控制箱×2个：</w:t>
            </w:r>
            <w:r>
              <w:rPr>
                <w:rFonts w:hint="eastAsia" w:ascii="宋体" w:hAnsi="宋体" w:eastAsia="宋体" w:cs="宋体"/>
                <w:color w:val="auto"/>
                <w:kern w:val="2"/>
                <w:sz w:val="24"/>
                <w:szCs w:val="24"/>
                <w:lang w:val="en-US" w:eastAsia="zh-CN" w:bidi="ar-SA"/>
              </w:rPr>
              <w:t>控制风量，钢板防腐变频离心风机启动，暂停。</w:t>
            </w:r>
          </w:p>
          <w:p w14:paraId="1BA486C4">
            <w:pPr>
              <w:pStyle w:val="7"/>
              <w:keepNext w:val="0"/>
              <w:keepLines w:val="0"/>
              <w:pageBreakBefore w:val="0"/>
              <w:widowControl w:val="0"/>
              <w:kinsoku/>
              <w:wordWrap w:val="0"/>
              <w:overflowPunct/>
              <w:topLinePunct w:val="0"/>
              <w:autoSpaceDE/>
              <w:autoSpaceDN/>
              <w:bidi w:val="0"/>
              <w:adjustRightInd w:val="0"/>
              <w:snapToGrid w:val="0"/>
              <w:spacing w:after="0" w:afterLines="0" w:line="360" w:lineRule="auto"/>
              <w:ind w:left="0" w:leftChars="0" w:firstLine="482"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⑮</w:t>
            </w:r>
            <w:r>
              <w:rPr>
                <w:rFonts w:hint="eastAsia" w:ascii="宋体" w:hAnsi="宋体" w:eastAsia="宋体" w:cs="宋体"/>
                <w:color w:val="auto"/>
                <w:kern w:val="2"/>
                <w:sz w:val="24"/>
                <w:szCs w:val="24"/>
                <w:lang w:val="en-US" w:eastAsia="zh-CN" w:bidi="ar-SA"/>
              </w:rPr>
              <w:t>配套钢板防腐变频离心风机×2台：</w:t>
            </w:r>
          </w:p>
          <w:p w14:paraId="5185B834">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（1）材质：钢板（JNS耐酸露点钢，机壳钢板厚度达到2~4mm，叶轮钢板厚度达到4~6mm），风机内外进行氟碳涂料防腐处理。 </w:t>
            </w:r>
          </w:p>
          <w:p w14:paraId="6EE64843">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（2）排风机形式：变频离心风机。 </w:t>
            </w:r>
          </w:p>
          <w:p w14:paraId="6E9998D1">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（3）变频电机：采用变频调速专用</w:t>
            </w:r>
            <w:r>
              <w:rPr>
                <w:rFonts w:hint="eastAsia" w:ascii="宋体" w:hAnsi="宋体" w:eastAsia="宋体" w:cs="宋体"/>
                <w:color w:val="auto"/>
                <w:sz w:val="24"/>
                <w:szCs w:val="24"/>
                <w:highlight w:val="none"/>
                <w:lang w:val="en-US" w:eastAsia="zh-CN"/>
              </w:rPr>
              <w:t>三相异步电动机，可与国内外变频器配套使用，运行可靠、维护方便，独立装有轴流风扇，在不同转速下均有较好冷却效果；额定功率380伏，冷却方式不低于IC416，防护等级不低于IP54，绝缘等级不低于F级，工作环境温度范围不小于-15℃~40℃。</w:t>
            </w:r>
          </w:p>
          <w:p w14:paraId="350EBCF9">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（4）带隔振垫、带防虫网和防雨弯头。</w:t>
            </w:r>
          </w:p>
        </w:tc>
      </w:tr>
    </w:tbl>
    <w:p w14:paraId="2220D1A8">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firstLine="236" w:firstLineChars="98"/>
        <w:outlineLvl w:val="1"/>
        <w:rPr>
          <w:rFonts w:hint="eastAsia" w:ascii="宋体" w:hAnsi="宋体" w:cs="宋体"/>
          <w:b/>
          <w:bCs/>
          <w:sz w:val="24"/>
          <w:highlight w:val="yellow"/>
        </w:rPr>
      </w:pPr>
    </w:p>
    <w:p w14:paraId="41D9A64D">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firstLine="236" w:firstLineChars="98"/>
        <w:outlineLvl w:val="1"/>
        <w:rPr>
          <w:rFonts w:hint="eastAsia" w:ascii="宋体" w:hAnsi="宋体" w:cs="宋体"/>
          <w:b/>
          <w:bCs/>
          <w:sz w:val="24"/>
          <w:highlight w:val="none"/>
        </w:rPr>
      </w:pPr>
      <w:r>
        <w:rPr>
          <w:rFonts w:hint="eastAsia" w:ascii="宋体" w:hAnsi="宋体" w:cs="宋体"/>
          <w:b/>
          <w:bCs/>
          <w:sz w:val="24"/>
          <w:highlight w:val="none"/>
        </w:rPr>
        <w:t>★四、商务要求</w:t>
      </w:r>
    </w:p>
    <w:tbl>
      <w:tblPr>
        <w:tblStyle w:val="8"/>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1916"/>
        <w:gridCol w:w="6500"/>
      </w:tblGrid>
      <w:tr w14:paraId="54A9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3" w:type="dxa"/>
            <w:noWrap w:val="0"/>
            <w:vAlign w:val="center"/>
          </w:tcPr>
          <w:p w14:paraId="56DA94A7">
            <w:pPr>
              <w:widowControl/>
              <w:spacing w:line="360" w:lineRule="exact"/>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序号</w:t>
            </w:r>
          </w:p>
        </w:tc>
        <w:tc>
          <w:tcPr>
            <w:tcW w:w="1916" w:type="dxa"/>
            <w:noWrap w:val="0"/>
            <w:vAlign w:val="center"/>
          </w:tcPr>
          <w:p w14:paraId="7853444B">
            <w:pPr>
              <w:widowControl/>
              <w:spacing w:line="360" w:lineRule="exact"/>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内容</w:t>
            </w:r>
          </w:p>
        </w:tc>
        <w:tc>
          <w:tcPr>
            <w:tcW w:w="6500" w:type="dxa"/>
            <w:noWrap w:val="0"/>
            <w:vAlign w:val="center"/>
          </w:tcPr>
          <w:p w14:paraId="72952EF5">
            <w:pPr>
              <w:widowControl/>
              <w:spacing w:line="360" w:lineRule="exact"/>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招标/采购要求</w:t>
            </w:r>
          </w:p>
        </w:tc>
      </w:tr>
      <w:tr w14:paraId="249D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3" w:type="dxa"/>
            <w:noWrap w:val="0"/>
            <w:vAlign w:val="center"/>
          </w:tcPr>
          <w:p w14:paraId="13980B5B">
            <w:pPr>
              <w:adjustRightInd w:val="0"/>
              <w:spacing w:line="320" w:lineRule="exact"/>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p>
        </w:tc>
        <w:tc>
          <w:tcPr>
            <w:tcW w:w="1916" w:type="dxa"/>
            <w:noWrap w:val="0"/>
            <w:vAlign w:val="center"/>
          </w:tcPr>
          <w:p w14:paraId="718127B5">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★交货时间</w:t>
            </w:r>
          </w:p>
        </w:tc>
        <w:tc>
          <w:tcPr>
            <w:tcW w:w="6500" w:type="dxa"/>
            <w:noWrap w:val="0"/>
            <w:vAlign w:val="center"/>
          </w:tcPr>
          <w:p w14:paraId="58BCB6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pacing w:val="8"/>
                <w:sz w:val="24"/>
                <w:szCs w:val="24"/>
                <w:highlight w:val="none"/>
              </w:rPr>
            </w:pPr>
            <w:r>
              <w:rPr>
                <w:rFonts w:hint="eastAsia" w:ascii="宋体" w:hAnsi="宋体" w:eastAsia="宋体" w:cs="宋体"/>
                <w:color w:val="auto"/>
                <w:sz w:val="24"/>
                <w:szCs w:val="24"/>
                <w:lang w:val="en-US" w:eastAsia="zh-CN"/>
              </w:rPr>
              <w:t>自合同签订之日起60日全部完成供货、安装、调试。</w:t>
            </w:r>
          </w:p>
        </w:tc>
      </w:tr>
      <w:tr w14:paraId="5267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noWrap w:val="0"/>
            <w:vAlign w:val="center"/>
          </w:tcPr>
          <w:p w14:paraId="2196AD83">
            <w:pPr>
              <w:adjustRightInd w:val="0"/>
              <w:spacing w:line="320" w:lineRule="exact"/>
              <w:jc w:val="center"/>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p>
        </w:tc>
        <w:tc>
          <w:tcPr>
            <w:tcW w:w="1916" w:type="dxa"/>
            <w:noWrap w:val="0"/>
            <w:vAlign w:val="center"/>
          </w:tcPr>
          <w:p w14:paraId="1E1D90B4">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★交货地点</w:t>
            </w:r>
          </w:p>
        </w:tc>
        <w:tc>
          <w:tcPr>
            <w:tcW w:w="6500" w:type="dxa"/>
            <w:noWrap w:val="0"/>
            <w:vAlign w:val="center"/>
          </w:tcPr>
          <w:p w14:paraId="4A87CE53">
            <w:pPr>
              <w:keepNext w:val="0"/>
              <w:keepLines w:val="0"/>
              <w:pageBreakBefore w:val="0"/>
              <w:kinsoku/>
              <w:wordWrap/>
              <w:overflowPunct/>
              <w:topLinePunct w:val="0"/>
              <w:autoSpaceDE/>
              <w:autoSpaceDN/>
              <w:bidi w:val="0"/>
              <w:snapToGrid/>
              <w:spacing w:line="400" w:lineRule="exact"/>
              <w:textAlignment w:val="auto"/>
              <w:rPr>
                <w:rFonts w:hint="eastAsia" w:ascii="宋体" w:hAnsi="宋体" w:eastAsia="宋体" w:cs="宋体"/>
                <w:bCs/>
                <w:color w:val="auto"/>
                <w:spacing w:val="8"/>
                <w:sz w:val="24"/>
                <w:szCs w:val="24"/>
                <w:highlight w:val="none"/>
              </w:rPr>
            </w:pPr>
            <w:r>
              <w:rPr>
                <w:rFonts w:hint="eastAsia" w:ascii="宋体" w:hAnsi="宋体" w:eastAsia="宋体" w:cs="宋体"/>
                <w:color w:val="auto"/>
                <w:sz w:val="24"/>
                <w:szCs w:val="24"/>
                <w:lang w:val="en-US" w:eastAsia="zh-CN"/>
              </w:rPr>
              <w:t>西南科技大学校内指定位置。</w:t>
            </w:r>
          </w:p>
        </w:tc>
      </w:tr>
      <w:tr w14:paraId="0C23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03" w:type="dxa"/>
            <w:noWrap w:val="0"/>
            <w:vAlign w:val="center"/>
          </w:tcPr>
          <w:p w14:paraId="052D7B44">
            <w:pPr>
              <w:adjustRightInd w:val="0"/>
              <w:spacing w:line="32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1916" w:type="dxa"/>
            <w:noWrap w:val="0"/>
            <w:vAlign w:val="center"/>
          </w:tcPr>
          <w:p w14:paraId="7B281637">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★履约保证金</w:t>
            </w:r>
          </w:p>
        </w:tc>
        <w:tc>
          <w:tcPr>
            <w:tcW w:w="6500" w:type="dxa"/>
            <w:noWrap w:val="0"/>
            <w:vAlign w:val="center"/>
          </w:tcPr>
          <w:p w14:paraId="136C6D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第一，金额：合同金额（中标金额）的5%</w:t>
            </w:r>
          </w:p>
          <w:p w14:paraId="7C024A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第二，交款方式：网银转账、支票、汇票、本票、金融机构或担保机构出具的保函等非现金方式缴纳至采购人。</w:t>
            </w:r>
          </w:p>
          <w:p w14:paraId="4E8F7F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第三，收款单位：西南科技大学。</w:t>
            </w:r>
          </w:p>
          <w:p w14:paraId="4E5808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开户银行：中国农业银行绵阳西南科技大学支行</w:t>
            </w:r>
          </w:p>
          <w:p w14:paraId="6D527D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账号：22-240901040000456</w:t>
            </w:r>
          </w:p>
          <w:p w14:paraId="69F2F1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第四，交款时间：中标通知书发放后，采购合同签订前。</w:t>
            </w:r>
          </w:p>
          <w:p w14:paraId="6B8B7E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第五，退款时间和方式：自项目履约验收合格且中标供应商协助采购人完成本项目涉及采购标的物资产入库后起</w:t>
            </w:r>
            <w:r>
              <w:rPr>
                <w:rFonts w:hint="eastAsia" w:ascii="宋体" w:hAnsi="宋体" w:eastAsia="宋体" w:cs="宋体"/>
                <w:color w:val="auto"/>
                <w:sz w:val="24"/>
                <w:szCs w:val="24"/>
                <w:lang w:val="en-US" w:eastAsia="zh-CN"/>
              </w:rPr>
              <w:t>1年后</w:t>
            </w:r>
            <w:r>
              <w:rPr>
                <w:rFonts w:hint="eastAsia" w:ascii="宋体" w:hAnsi="宋体" w:eastAsia="宋体" w:cs="宋体"/>
                <w:color w:val="auto"/>
                <w:sz w:val="24"/>
                <w:szCs w:val="24"/>
              </w:rPr>
              <w:t>，由中标供应商向采购人提出申请，采购人根据中标供应商实际履约情况（无息）退还。履约保证金不予退还情形应包括履约验收结果不合格或中标供应商未按合同履约或其他违反国家相关法律法规的情形。履约保证金不予退还的，将按照有关规定上缴学校财务部门。</w:t>
            </w:r>
          </w:p>
          <w:p w14:paraId="3E012F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rPr>
              <w:t>注：提供保函的担保机构必须是依法成立的具有相关资质和偿付能力的担保机构。保函是银行等金融机构出具的，保函必须要在中国人民银行征信系统能够进行查询，否则视为中标供应商未有效缴纳履约保证金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若逾期未有效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足额</w:t>
            </w:r>
            <w:r>
              <w:rPr>
                <w:rFonts w:hint="eastAsia" w:ascii="宋体" w:hAnsi="宋体" w:eastAsia="宋体" w:cs="宋体"/>
                <w:color w:val="auto"/>
                <w:sz w:val="24"/>
                <w:szCs w:val="24"/>
              </w:rPr>
              <w:t>缴纳</w:t>
            </w:r>
            <w:r>
              <w:rPr>
                <w:rFonts w:hint="eastAsia" w:ascii="宋体" w:hAnsi="宋体" w:eastAsia="宋体" w:cs="宋体"/>
                <w:color w:val="auto"/>
                <w:sz w:val="24"/>
                <w:szCs w:val="24"/>
                <w:lang w:val="en-US" w:eastAsia="zh-CN"/>
              </w:rPr>
              <w:t>履约保证金</w:t>
            </w:r>
            <w:r>
              <w:rPr>
                <w:rFonts w:hint="eastAsia" w:ascii="宋体" w:hAnsi="宋体" w:eastAsia="宋体" w:cs="宋体"/>
                <w:color w:val="auto"/>
                <w:sz w:val="24"/>
                <w:szCs w:val="24"/>
              </w:rPr>
              <w:t>的，将视中标供应商无故放弃中标资格，并视中标供应商拒绝与采购人签订合同，采购人有权对无故放弃中标资格的供应商以失信行为记入学校采购诚信档案，并将依法追究其相关责任，向本项目同级政府采购监管部门上报有关情况。</w:t>
            </w:r>
          </w:p>
        </w:tc>
      </w:tr>
      <w:tr w14:paraId="69C5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3" w:type="dxa"/>
            <w:noWrap w:val="0"/>
            <w:vAlign w:val="center"/>
          </w:tcPr>
          <w:p w14:paraId="27618ED2">
            <w:pPr>
              <w:adjustRightInd w:val="0"/>
              <w:spacing w:line="320" w:lineRule="exact"/>
              <w:jc w:val="center"/>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en-US" w:eastAsia="zh-CN"/>
              </w:rPr>
              <w:t>4</w:t>
            </w:r>
          </w:p>
        </w:tc>
        <w:tc>
          <w:tcPr>
            <w:tcW w:w="1916" w:type="dxa"/>
            <w:noWrap w:val="0"/>
            <w:vAlign w:val="center"/>
          </w:tcPr>
          <w:p w14:paraId="280FB1B5">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★履约验收标准</w:t>
            </w:r>
            <w:r>
              <w:rPr>
                <w:rFonts w:hint="eastAsia" w:ascii="宋体" w:hAnsi="宋体" w:eastAsia="宋体" w:cs="宋体"/>
                <w:color w:val="auto"/>
                <w:kern w:val="0"/>
                <w:sz w:val="24"/>
                <w:szCs w:val="24"/>
                <w:lang w:val="en-US" w:eastAsia="zh-CN"/>
              </w:rPr>
              <w:t>与方法</w:t>
            </w:r>
          </w:p>
        </w:tc>
        <w:tc>
          <w:tcPr>
            <w:tcW w:w="6500" w:type="dxa"/>
            <w:noWrap w:val="0"/>
            <w:vAlign w:val="center"/>
          </w:tcPr>
          <w:p w14:paraId="4D282B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第一，履约验收标准：采购人依据《财政部关于进一步加强政府采购需求和履约验收管理的指导意见》（财库〔2016〕205 号）、《绵阳市财政局关于进一步做好政府采购项目履约验收工作的通知》(绵财采〔2021〕15号)、《西南科技大学货物、服务采购项目履约验收管理办法》（西南科大资实字〔2018〕10号）、《关于进一步加强履约验收管理的通知》（西南科大资实字〔2021〕3号）的有关要求组织实施，并遵循本项目合同条款、技术服务协议、招标文件要求以及中标人投标文件响应及承诺内容自行组织验收。</w:t>
            </w:r>
          </w:p>
          <w:p w14:paraId="2AC2337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第二，履约验收程序：</w:t>
            </w:r>
          </w:p>
          <w:p w14:paraId="10C0C7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中标人须依据本项目合同条款、技术服务协议全部供货且安装、调试、检测、试运行直至所投货物全部正常运行完成后，向采购人提出履约验收申请，采购人在收到中标人提出的履约验收申请后10日内自行组织验收（中标人须配合采购人的验收工作）。若因故推迟验收的，采购人应及时通知中标人变更后的具体时间，但原则上不超过中标人向采购人提出履约验收申请后30日内完成首次履约验收。</w:t>
            </w:r>
          </w:p>
          <w:p w14:paraId="41895B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（二）经采购人验收合格后，中标人、采购人分别签字确认，采购人向中标人出具《采购项目履约验收报告》。</w:t>
            </w:r>
          </w:p>
          <w:p w14:paraId="4E8D93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rPr>
              <w:t>（三）经采购人验收不合格的货物，中标人应重新供货，并按要求重新提出验收申请，直至所有货物履约验收合格为止。如货物经中标人连续2次重新供货更换全新的货物后，仍不能达到采购合同和技术服务协议约定的质量标准，采购人可依法追究中标人承担的全部违约责任，不予向中标人支付本项目采购资金，并视中标人履约验收结果不合格，不予退还中标人履约保证金。</w:t>
            </w:r>
          </w:p>
        </w:tc>
      </w:tr>
      <w:tr w14:paraId="1CC4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3" w:type="dxa"/>
            <w:noWrap w:val="0"/>
            <w:vAlign w:val="center"/>
          </w:tcPr>
          <w:p w14:paraId="6D3705DC">
            <w:pPr>
              <w:adjustRightInd w:val="0"/>
              <w:spacing w:line="320" w:lineRule="exact"/>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5</w:t>
            </w:r>
          </w:p>
        </w:tc>
        <w:tc>
          <w:tcPr>
            <w:tcW w:w="1916" w:type="dxa"/>
            <w:noWrap w:val="0"/>
            <w:vAlign w:val="center"/>
          </w:tcPr>
          <w:p w14:paraId="02C3FBAB">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★款项支付方式、进度</w:t>
            </w:r>
          </w:p>
        </w:tc>
        <w:tc>
          <w:tcPr>
            <w:tcW w:w="6500" w:type="dxa"/>
            <w:noWrap w:val="0"/>
            <w:vAlign w:val="center"/>
          </w:tcPr>
          <w:p w14:paraId="2D8F3D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经采购人组织履约验收合格且中标人协助采购人完成本项目涉及采购标的物资产入库后，中标人须及时向采购人提供真实有效的增值税专用发票。采购人在收到中标人提供的增值税专用发票后15个工作日内，采购人依据结算金额向中标人支付全额货款。</w:t>
            </w:r>
          </w:p>
          <w:p w14:paraId="14F8DF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若结算时双方存在款项争议，待争议解决后再支付货款，付款手续按采购人财务相关规定进行。中标人未提供符合规定的发票及货物验收单等资料或资料不齐全、不符合约定的，采购人有权拒绝付款，因此导致迟延付款的责任及造成的采购人损失由中标人自行承担，且中标人不得因此拒绝履行合同，否则应按合同约定承担违约责任。</w:t>
            </w:r>
          </w:p>
          <w:p w14:paraId="011DA2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rPr>
              <w:t>第三，若当年年底按照约定不能支付的，采购人应及时告知中标人，并顺延至次年上级财政预算下达后继续支付全额货款。</w:t>
            </w:r>
          </w:p>
        </w:tc>
      </w:tr>
      <w:tr w14:paraId="44B0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3" w:type="dxa"/>
            <w:noWrap w:val="0"/>
            <w:vAlign w:val="center"/>
          </w:tcPr>
          <w:p w14:paraId="454CBC0F">
            <w:pPr>
              <w:adjustRightInd w:val="0"/>
              <w:spacing w:line="320" w:lineRule="exact"/>
              <w:jc w:val="cente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7</w:t>
            </w:r>
          </w:p>
        </w:tc>
        <w:tc>
          <w:tcPr>
            <w:tcW w:w="1916" w:type="dxa"/>
            <w:noWrap w:val="0"/>
            <w:vAlign w:val="center"/>
          </w:tcPr>
          <w:p w14:paraId="255B163E">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★质保及售后服务要求/后续服务要求</w:t>
            </w:r>
          </w:p>
        </w:tc>
        <w:tc>
          <w:tcPr>
            <w:tcW w:w="6500" w:type="dxa"/>
            <w:noWrap w:val="0"/>
            <w:vAlign w:val="center"/>
          </w:tcPr>
          <w:p w14:paraId="7A6A90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一，本项目质保期为36个月，自采购人自行组织的验收合格之日算起。在质保期内，本项目涉及采购标的物出现任何故障质量问题，中标人应提供7×24小时的技术支持服务，30分钟内电话响应，一般性故障在8小时内提供解决方案，复杂性问题在24小时内提供解决方案。</w:t>
            </w:r>
          </w:p>
          <w:p w14:paraId="09CB2F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二，在质保期内，若采购人依据中标人提供的解决方案无法解决故障质量问题的，中标人须在收到采购人通知后48小时内及时指派专人至现场解决，并承担由此发生的所有费用。针对同一故障点中标人委派专人赴现场第一次未能解决的，中标人须向采购人提供相同的设备（货物）给予采购人临时使用（相关费用由中标人自行承担）。赴现场第二次解决时间由中标人与采购人协商为准，但不得超过采购人向中标人提出故障质量问题之日起30日。</w:t>
            </w:r>
          </w:p>
          <w:p w14:paraId="274AF2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三，在质保期内，如果针对同一故障点连续2次中标人现场无法解决故障质量问题的，中标人须进行重新供货更换全新的设备（货物），重新供货时间由中标人与采购人协商为准，但不得超过同一故障点中标人委派专人赴现场第二次解决之日起30日。中标人在约定的时间内重新供货更换全新的设备（货物）后，还须提供相应的安装、调试、检测、试运行直至所投设备（货物）全部正常运行，该设备（货物）的质保期重新计算，质保期内中标人的责任义务重新履行。</w:t>
            </w:r>
          </w:p>
          <w:p w14:paraId="60AB01E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四，在质保期内，第一次重新供货更换全新的设备（货物）在新的质保期内再次出现任何质量问题的，中标人须在收到采购人通知后30日内第二次重新供货更换全新的设备（货物），还须提供相应的安装、调试、检测、试运行直至所投设备（货物）全部正常运行，该设备（货物）的质保期重新计算，质保期内中标人的责任义务重新履行。</w:t>
            </w:r>
          </w:p>
          <w:p w14:paraId="127A8FC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五，在质保期内，如设备（货物）经中标人连续2次重新供货更换全新的设备（货物）后仍不能达到采购合同和技术服务协议约定的质量标准，采购人可依法追究中标人的违约责任，中标人应承担全部合同价的赔偿责任，全额退还本项目采购资金。</w:t>
            </w:r>
          </w:p>
          <w:p w14:paraId="5FBD799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第六，质保期内产生的远程支持服务、所投设备（货物）维修、更换以及相关人工、运输、包装等费用，由中标人自行考虑在投标报价中，采购人不再另行支付其他费用。</w:t>
            </w:r>
          </w:p>
        </w:tc>
      </w:tr>
      <w:tr w14:paraId="6D33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3" w:type="dxa"/>
            <w:noWrap w:val="0"/>
            <w:vAlign w:val="center"/>
          </w:tcPr>
          <w:p w14:paraId="5E42712F">
            <w:pPr>
              <w:adjustRightInd w:val="0"/>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916" w:type="dxa"/>
            <w:noWrap w:val="0"/>
            <w:vAlign w:val="center"/>
          </w:tcPr>
          <w:p w14:paraId="48FBA224">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★包装方式及运输</w:t>
            </w:r>
          </w:p>
        </w:tc>
        <w:tc>
          <w:tcPr>
            <w:tcW w:w="6500" w:type="dxa"/>
            <w:noWrap w:val="0"/>
            <w:vAlign w:val="center"/>
          </w:tcPr>
          <w:p w14:paraId="040274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为本项目实施涉及的商品包装和快递包装，均须符合《商品包装政府采购需求标准（试行）》《快递包装政府采购需求标准（试行）》的要求，包装适应于远距离运输、防潮、防震、防锈和防野蛮装卸，以确保货物安全无损运抵指定地点。</w:t>
            </w:r>
          </w:p>
        </w:tc>
      </w:tr>
      <w:tr w14:paraId="1A17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03" w:type="dxa"/>
            <w:noWrap w:val="0"/>
            <w:vAlign w:val="center"/>
          </w:tcPr>
          <w:p w14:paraId="2662E910">
            <w:pPr>
              <w:adjustRightInd w:val="0"/>
              <w:spacing w:line="32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916" w:type="dxa"/>
            <w:noWrap w:val="0"/>
            <w:vAlign w:val="center"/>
          </w:tcPr>
          <w:p w14:paraId="02CCB1E4">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★违约责任与解决方式</w:t>
            </w:r>
          </w:p>
        </w:tc>
        <w:tc>
          <w:tcPr>
            <w:tcW w:w="6500" w:type="dxa"/>
            <w:noWrap w:val="0"/>
            <w:vAlign w:val="center"/>
          </w:tcPr>
          <w:p w14:paraId="3ED613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第一，违约责任</w:t>
            </w:r>
          </w:p>
          <w:p w14:paraId="5FADB7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因中标人工作人员在履行职务过程中的疏忽、失职、过错等故意或者过失原因给采购人造成损失或侵害，包括但不限于采购人本身的财产损失、由此而导致的采购人对任何第三方的法律责任等，中标人对此均应承担全部的赔偿责任。</w:t>
            </w:r>
          </w:p>
          <w:p w14:paraId="2AE03BB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中标人工作人员在校内设备供货及验收期间的人身财产安全由中标人自行负责，发生安全责任事故导致采购人、中标人和他人财产损失、人员伤亡的，由中标人承担相应经济责任和法律责任，发生其它安全事故按照相关法律法规处理。</w:t>
            </w:r>
          </w:p>
          <w:p w14:paraId="1ADAE4E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中标人提供设备到货以后，未经采购人验货，或者虽经采购人验货但验货不合格，采购人有权拒收，且所造成的一切后果及所产生的所有费用由中标人承担；即使采购人验货后，仍然不能免除中标人的设备供货质量责任，由此造成的一切后果由中标人承担全部经济责任和法律责任。</w:t>
            </w:r>
          </w:p>
          <w:p w14:paraId="396E37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对超过交货时间的处罚：中标人超过交货时间的，按照合同金额的千分之三/天的标准对履约保证金进行扣款，并视中标人未按合同履约（因不可抗力事件或为配合学校正常的教学、生活秩序而耽误的交货时间，经中标人书面提出，由采购人签字确认以后，耽误的时间可顺延）。中标人逾期10日（不含）未能够将所投设备全部供货、安装、调试、检测、试运行、使用培训直至所投设备（货物）全部正常运行完成的，采购人将视中标人放弃履约，由此造成的后果，由中标人自行承担。</w:t>
            </w:r>
          </w:p>
          <w:p w14:paraId="7F05EE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（五）其他未尽事宜以合同约定为准。</w:t>
            </w:r>
          </w:p>
          <w:p w14:paraId="6446C2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第二，争议解决办法</w:t>
            </w:r>
          </w:p>
          <w:p w14:paraId="0BF090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一）因设备（货物）的质量故障问题发生争议，由采购人或其指定的第三方机构进行质量鉴定。经鉴定后符合本项目采购合同和技术服务协议约定的标准的，鉴定费由采购人承担；经鉴定后不符合本项目采购合同和技术服务协议约定的标准的，鉴定费由中标人自行承担。 </w:t>
            </w:r>
          </w:p>
          <w:p w14:paraId="47E91D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（二）合同履行期间（含质保期）,若采购人与中标人发生争议的，可双方协商或由有关部门调解解决，协商或调解不成的，可向采购人所在地人民法院起诉。</w:t>
            </w:r>
            <w:r>
              <w:rPr>
                <w:rFonts w:hint="eastAsia" w:ascii="宋体" w:hAnsi="宋体" w:eastAsia="宋体" w:cs="宋体"/>
                <w:color w:val="auto"/>
                <w:sz w:val="24"/>
                <w:szCs w:val="24"/>
                <w:highlight w:val="none"/>
                <w:lang w:val="en-US" w:eastAsia="zh-CN"/>
              </w:rPr>
              <w:tab/>
            </w:r>
          </w:p>
        </w:tc>
      </w:tr>
      <w:tr w14:paraId="2A77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03" w:type="dxa"/>
            <w:noWrap w:val="0"/>
            <w:vAlign w:val="center"/>
          </w:tcPr>
          <w:p w14:paraId="1E9DAE4A">
            <w:pPr>
              <w:adjustRightInd w:val="0"/>
              <w:spacing w:line="32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1916" w:type="dxa"/>
            <w:noWrap w:val="0"/>
            <w:vAlign w:val="center"/>
          </w:tcPr>
          <w:p w14:paraId="6803666E">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★知识产权</w:t>
            </w:r>
          </w:p>
        </w:tc>
        <w:tc>
          <w:tcPr>
            <w:tcW w:w="6500" w:type="dxa"/>
            <w:noWrap w:val="0"/>
            <w:vAlign w:val="center"/>
          </w:tcPr>
          <w:p w14:paraId="30813F5E">
            <w:pPr>
              <w:keepNext w:val="0"/>
              <w:keepLines w:val="0"/>
              <w:pageBreakBefore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第一，投标人应保证在本项目中使用的任何产品和服务（包括部分使用），不会产生因第三方提出侵犯其专利权、商标权或其它知识产权而引起的法律和经济纠纷，如因专利权、商标权或其它知识产权而引起法律和经济纠纷，由投标人承担所有相关责任。</w:t>
            </w:r>
          </w:p>
          <w:p w14:paraId="23D5EDCF">
            <w:pPr>
              <w:keepNext w:val="0"/>
              <w:keepLines w:val="0"/>
              <w:pageBreakBefore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第二，除非采购文件特别规定，采购人享有本项目实施过程中产生的知识成果及知识产权。</w:t>
            </w:r>
          </w:p>
          <w:p w14:paraId="2D821996">
            <w:pPr>
              <w:keepNext w:val="0"/>
              <w:keepLines w:val="0"/>
              <w:pageBreakBefore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第三，投标人将在采购项目实施过程中采用自有或者第三方知识成果的，应当在响应文件中载明，并提供相关知识产权证明文件。</w:t>
            </w:r>
          </w:p>
          <w:p w14:paraId="7E8A5B8D">
            <w:pPr>
              <w:keepNext w:val="0"/>
              <w:keepLines w:val="0"/>
              <w:pageBreakBefore w:val="0"/>
              <w:kinsoku/>
              <w:wordWrap/>
              <w:overflowPunct/>
              <w:topLinePunct w:val="0"/>
              <w:autoSpaceDE/>
              <w:autoSpaceDN/>
              <w:bidi w:val="0"/>
              <w:adjustRightInd w:val="0"/>
              <w:snapToGrid/>
              <w:spacing w:line="40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第四，如采用投标人所不拥有的知识产权，则在报价中必须包括合法获取该知识产权的相关费用。</w:t>
            </w:r>
          </w:p>
        </w:tc>
      </w:tr>
      <w:tr w14:paraId="2BBE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03" w:type="dxa"/>
            <w:noWrap w:val="0"/>
            <w:vAlign w:val="center"/>
          </w:tcPr>
          <w:p w14:paraId="67C5B22A">
            <w:pPr>
              <w:adjustRightInd w:val="0"/>
              <w:spacing w:line="32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1</w:t>
            </w:r>
          </w:p>
        </w:tc>
        <w:tc>
          <w:tcPr>
            <w:tcW w:w="1916" w:type="dxa"/>
            <w:noWrap w:val="0"/>
            <w:vAlign w:val="center"/>
          </w:tcPr>
          <w:p w14:paraId="69C6D7C9">
            <w:pPr>
              <w:keepNext w:val="0"/>
              <w:keepLines w:val="0"/>
              <w:pageBreakBefore w:val="0"/>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★其他</w:t>
            </w:r>
          </w:p>
        </w:tc>
        <w:tc>
          <w:tcPr>
            <w:tcW w:w="6500" w:type="dxa"/>
            <w:noWrap w:val="0"/>
            <w:vAlign w:val="center"/>
          </w:tcPr>
          <w:p w14:paraId="03D1066E">
            <w:pPr>
              <w:keepNext w:val="0"/>
              <w:keepLines w:val="0"/>
              <w:pageBreakBefore w:val="0"/>
              <w:widowControl/>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第一，本项目投标人报价应是最终用户验收合格后的总价，包括设备、专用工具、设备运输、保险、安装调试服务、技术资料、技术服务、技术培训、获取非自有知识产权的费用和招标文件规定的其它费用。</w:t>
            </w:r>
          </w:p>
          <w:p w14:paraId="22675F6F">
            <w:pPr>
              <w:keepNext w:val="0"/>
              <w:keepLines w:val="0"/>
              <w:pageBreakBefore w:val="0"/>
              <w:widowControl/>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第二，供应商须提供全新的设备（货物）（含零部件、配件等），表面无划伤、无碰撞痕迹，且权属清楚，不得侵害他人的知识产权。各标的物整机所有配置须出厂原装，采购人不接受二次组装后的供货。</w:t>
            </w:r>
          </w:p>
          <w:p w14:paraId="384EB353">
            <w:pPr>
              <w:keepNext w:val="0"/>
              <w:keepLines w:val="0"/>
              <w:pageBreakBefore w:val="0"/>
              <w:widowControl/>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第三，设备（货物）必须符合或优于国家（行业）标准，以及本项目采购文件的质量要求和技术指标与出厂标准。设备（货物）出现质量问题时，中标人应负责三包（包修、包换、包退），费用由中标人负担。</w:t>
            </w:r>
          </w:p>
          <w:p w14:paraId="7BEE6C0E">
            <w:pPr>
              <w:keepNext w:val="0"/>
              <w:keepLines w:val="0"/>
              <w:pageBreakBefore w:val="0"/>
              <w:widowControl/>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第四，设备（货物）到现场后由于采购人保管不当造成的质量问题，中标人亦应负责修理，但费用由采购人负担。现场组织安装、调试、质保等过程的安全责任由中标人自行承担。</w:t>
            </w:r>
          </w:p>
          <w:p w14:paraId="00AA1220">
            <w:pPr>
              <w:keepNext w:val="0"/>
              <w:keepLines w:val="0"/>
              <w:pageBreakBefore w:val="0"/>
              <w:widowControl/>
              <w:kinsoku/>
              <w:wordWrap/>
              <w:overflowPunct/>
              <w:topLinePunct w:val="0"/>
              <w:autoSpaceDE/>
              <w:autoSpaceDN/>
              <w:bidi w:val="0"/>
              <w:adjustRightInd w:val="0"/>
              <w:snapToGrid/>
              <w:spacing w:line="40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第五，本项目采购人不组织供应商踏勘现场。</w:t>
            </w:r>
          </w:p>
        </w:tc>
      </w:tr>
    </w:tbl>
    <w:p w14:paraId="21EC6C53">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firstLine="236" w:firstLineChars="98"/>
        <w:outlineLvl w:val="1"/>
        <w:rPr>
          <w:rFonts w:hint="eastAsia" w:ascii="宋体" w:hAnsi="宋体" w:cs="宋体"/>
          <w:b/>
          <w:bCs/>
          <w:sz w:val="24"/>
          <w:highlight w:val="none"/>
        </w:rPr>
      </w:pPr>
    </w:p>
    <w:p w14:paraId="0B35F737">
      <w:pPr>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firstLine="236" w:firstLineChars="98"/>
        <w:outlineLvl w:val="1"/>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五、其他要求</w:t>
      </w:r>
    </w:p>
    <w:p w14:paraId="02BF203E">
      <w:pPr>
        <w:pStyle w:val="4"/>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firstLine="420" w:firstLineChars="175"/>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1、投标人自2022年1月1日（含）起至递交本项目投标文件截止时间止，自身取得过类似项目业绩。</w:t>
      </w:r>
    </w:p>
    <w:p w14:paraId="33BA9A66">
      <w:pPr>
        <w:pStyle w:val="4"/>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firstLine="420" w:firstLineChars="175"/>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2、投标人为本项目提供《实施方案》，内容应包括：①实施组织架构及人员配置安排；②项目实施过程控制及进度安排；③项目实施技术方案；④项目风险控制和质量保障措施；⑤特殊情况的应急预案。</w:t>
      </w:r>
    </w:p>
    <w:p w14:paraId="651739B6">
      <w:pPr>
        <w:pStyle w:val="4"/>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firstLine="420" w:firstLineChars="175"/>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3、投标人为本项目提供《售后服务方案》，内容应包括：①售后服务流程；②现场质保服务支持能力保障措施；③质保备品备件供给方案；④售后服务质量保障范围与措施。</w:t>
      </w:r>
    </w:p>
    <w:p w14:paraId="571B5751">
      <w:pPr>
        <w:pStyle w:val="4"/>
        <w:keepNext w:val="0"/>
        <w:keepLines w:val="0"/>
        <w:pageBreakBefore w:val="0"/>
        <w:widowControl w:val="0"/>
        <w:kinsoku/>
        <w:wordWrap/>
        <w:overflowPunct w:val="0"/>
        <w:topLinePunct w:val="0"/>
        <w:autoSpaceDE w:val="0"/>
        <w:autoSpaceDN w:val="0"/>
        <w:bidi w:val="0"/>
        <w:adjustRightInd w:val="0"/>
        <w:snapToGrid w:val="0"/>
        <w:spacing w:beforeAutospacing="0" w:line="360" w:lineRule="auto"/>
        <w:ind w:left="0" w:leftChars="0" w:right="0" w:rightChars="0" w:firstLine="420" w:firstLineChars="175"/>
        <w:rPr>
          <w:rFonts w:hint="eastAsia" w:ascii="宋体" w:hAnsi="宋体" w:cs="宋体"/>
          <w:b w:val="0"/>
          <w:bCs w:val="0"/>
          <w:color w:val="auto"/>
          <w:sz w:val="24"/>
          <w:highlight w:val="none"/>
          <w:lang w:val="en-US" w:eastAsia="zh-CN"/>
        </w:rPr>
      </w:pPr>
    </w:p>
    <w:p w14:paraId="6627190A">
      <w:r>
        <w:rPr>
          <w:rFonts w:hint="eastAsia" w:ascii="宋体" w:hAnsi="宋体" w:cs="宋体"/>
          <w:b/>
          <w:bCs/>
          <w:sz w:val="21"/>
          <w:szCs w:val="21"/>
        </w:rPr>
        <w:t>注</w:t>
      </w:r>
      <w:r>
        <w:rPr>
          <w:rFonts w:hint="eastAsia" w:ascii="宋体" w:hAnsi="宋体" w:cs="宋体"/>
          <w:b/>
          <w:bCs/>
          <w:sz w:val="21"/>
          <w:szCs w:val="21"/>
          <w:highlight w:val="none"/>
        </w:rPr>
        <w:t>：1、以上打“★”号的为本次招标项目的实质性要求，不允许有负偏离</w:t>
      </w:r>
      <w:r>
        <w:rPr>
          <w:rFonts w:hint="eastAsia" w:ascii="宋体" w:hAnsi="宋体" w:cs="宋体"/>
          <w:b/>
          <w:bCs/>
          <w:sz w:val="21"/>
          <w:szCs w:val="21"/>
          <w:highlight w:val="none"/>
          <w:lang w:eastAsia="zh-CN"/>
        </w:rPr>
        <w:t>；</w:t>
      </w:r>
      <w:r>
        <w:rPr>
          <w:rFonts w:hint="eastAsia" w:ascii="宋体" w:hAnsi="宋体" w:cs="宋体"/>
          <w:b/>
          <w:bCs/>
          <w:color w:val="auto"/>
          <w:sz w:val="21"/>
          <w:szCs w:val="21"/>
          <w:highlight w:val="none"/>
          <w:lang w:val="en-US" w:eastAsia="zh-CN"/>
        </w:rPr>
        <w:t>没有打</w:t>
      </w:r>
      <w:r>
        <w:rPr>
          <w:rFonts w:hint="eastAsia" w:ascii="宋体" w:hAnsi="宋体" w:cs="宋体"/>
          <w:b/>
          <w:bCs/>
          <w:color w:val="auto"/>
          <w:sz w:val="21"/>
          <w:szCs w:val="21"/>
          <w:highlight w:val="none"/>
        </w:rPr>
        <w:t>“★”号的</w:t>
      </w:r>
      <w:r>
        <w:rPr>
          <w:rFonts w:hint="eastAsia" w:ascii="宋体" w:hAnsi="宋体" w:cs="宋体"/>
          <w:b/>
          <w:bCs/>
          <w:color w:val="auto"/>
          <w:sz w:val="21"/>
          <w:szCs w:val="21"/>
          <w:highlight w:val="none"/>
          <w:lang w:val="en-US" w:eastAsia="zh-CN"/>
        </w:rPr>
        <w:t>为非实质性要求，投标人根据自身实际情况响应</w:t>
      </w:r>
      <w:r>
        <w:rPr>
          <w:rFonts w:hint="eastAsia" w:ascii="宋体" w:hAnsi="宋体" w:cs="宋体"/>
          <w:b/>
          <w:bCs/>
          <w:color w:val="auto"/>
          <w:sz w:val="21"/>
          <w:szCs w:val="21"/>
          <w:highlight w:val="none"/>
        </w:rPr>
        <w:t>。</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4516A"/>
    <w:rsid w:val="52545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8"/>
    <w:basedOn w:val="1"/>
    <w:next w:val="1"/>
    <w:qFormat/>
    <w:uiPriority w:val="0"/>
    <w:pPr>
      <w:keepNext/>
      <w:keepLines/>
      <w:widowControl/>
      <w:spacing w:line="320" w:lineRule="auto"/>
      <w:ind w:left="-1320"/>
      <w:jc w:val="left"/>
      <w:outlineLvl w:val="7"/>
    </w:pPr>
    <w:rPr>
      <w:rFonts w:ascii="Arial" w:hAnsi="Arial" w:eastAsia="黑体"/>
      <w:color w:val="000000"/>
      <w:kern w:val="0"/>
      <w:sz w:val="28"/>
      <w:szCs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ind w:firstLine="200" w:firstLineChars="200"/>
    </w:pPr>
  </w:style>
  <w:style w:type="paragraph" w:styleId="5">
    <w:name w:val="Body Text"/>
    <w:basedOn w:val="1"/>
    <w:next w:val="1"/>
    <w:qFormat/>
    <w:uiPriority w:val="99"/>
    <w:pPr>
      <w:snapToGrid w:val="0"/>
      <w:spacing w:line="440" w:lineRule="exact"/>
    </w:pPr>
    <w:rPr>
      <w:rFonts w:ascii="Times New Roman" w:eastAsia="Times New Roman"/>
      <w:sz w:val="20"/>
    </w:rPr>
  </w:style>
  <w:style w:type="paragraph" w:styleId="6">
    <w:name w:val="Body Text Indent"/>
    <w:basedOn w:val="1"/>
    <w:next w:val="3"/>
    <w:qFormat/>
    <w:uiPriority w:val="0"/>
    <w:pPr>
      <w:ind w:firstLine="630"/>
    </w:pPr>
    <w:rPr>
      <w:sz w:val="32"/>
      <w:szCs w:val="20"/>
    </w:rPr>
  </w:style>
  <w:style w:type="paragraph" w:styleId="7">
    <w:name w:val="Body Text First Indent 2"/>
    <w:basedOn w:val="6"/>
    <w:qFormat/>
    <w:uiPriority w:val="0"/>
    <w:pPr>
      <w:ind w:right="0" w:rightChars="0" w:firstLine="420" w:firstLineChars="200"/>
    </w:pPr>
    <w:rPr>
      <w:rFonts w:ascii="Calibri" w:hAnsi="Calibri"/>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2024-12-20T09:03:00Z</dcterms:created>
  <dc:creator>A</dc:creator>
  <cp:lastModifiedBy>A</cp:lastModifiedBy>
  <dcterms:modified xsi:type="dcterms:W3CDTF">2024-12-20T09:04:00Z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C5F4DB5758134B97B9BC2AF356A104B0_11</vt:lpwstr>
  </property>
</Properties>
</file>