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ind w:left="216" w:leftChars="98" w:right="233" w:firstLine="723"/>
        <w:rPr>
          <w:rFonts w:ascii="宋体" w:hAnsi="宋体" w:eastAsia="宋体" w:cs="宋体"/>
        </w:rPr>
      </w:pPr>
      <w:r>
        <w:rPr>
          <w:rFonts w:hint="eastAsia" w:ascii="宋体" w:hAnsi="宋体" w:eastAsia="宋体" w:cs="宋体"/>
        </w:rPr>
        <w:t>采购项目技术、服务、采购合同内容条款及其他商务要求</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b w:val="0"/>
          <w:sz w:val="24"/>
          <w:szCs w:val="24"/>
        </w:rPr>
      </w:pPr>
      <w:r>
        <w:rPr>
          <w:rFonts w:hint="eastAsia"/>
          <w:b w:val="0"/>
          <w:sz w:val="24"/>
          <w:szCs w:val="24"/>
        </w:rPr>
        <w:t>一、项目概述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textAlignment w:val="auto"/>
        <w:rPr>
          <w:sz w:val="24"/>
          <w:szCs w:val="24"/>
          <w:lang w:val="en-US"/>
        </w:rPr>
      </w:pPr>
      <w:r>
        <w:rPr>
          <w:rFonts w:hint="eastAsia"/>
          <w:sz w:val="24"/>
          <w:szCs w:val="24"/>
          <w:lang w:val="en-US"/>
        </w:rPr>
        <w:t>目前，我校正在使用的电信的公网</w:t>
      </w:r>
      <w:r>
        <w:rPr>
          <w:sz w:val="24"/>
          <w:szCs w:val="24"/>
          <w:lang w:val="en-US"/>
        </w:rPr>
        <w:t>IP和域名绑定均已在四川省通信管理局备案，校内对互联网开放的所有业务信息系统都需要通过电信公网IP地址进行映射解析。中国电信出口带宽是我校校园网连接互联网的主要出口，本次预采购的中国电信出口带宽服务自使用至今运行良好。为稳定学校校园网络出口带宽资源，为校园网用户提提供良好的上网体验，我校拟对2024年电信出口扩容服务进行采购</w:t>
      </w:r>
      <w:r>
        <w:rPr>
          <w:rFonts w:hint="eastAsia"/>
          <w:sz w:val="24"/>
          <w:szCs w:val="24"/>
          <w:lang w:val="en-US"/>
        </w:rPr>
        <w:t>。</w:t>
      </w:r>
    </w:p>
    <w:p>
      <w:pPr>
        <w:spacing w:line="360" w:lineRule="auto"/>
        <w:ind w:firstLine="440" w:firstLineChars="200"/>
        <w:rPr>
          <w:lang w:val="en-US"/>
        </w:rPr>
      </w:pPr>
      <w:r>
        <w:rPr>
          <w:rFonts w:hint="eastAsia"/>
          <w:lang w:val="en-US"/>
        </w:rPr>
        <w:t>二、</w:t>
      </w:r>
      <w:r>
        <w:rPr>
          <w:rFonts w:hint="eastAsia"/>
          <w:sz w:val="24"/>
          <w:szCs w:val="24"/>
          <w:lang w:val="en-US"/>
        </w:rPr>
        <w:t>标的清单</w:t>
      </w:r>
    </w:p>
    <w:tbl>
      <w:tblPr>
        <w:tblStyle w:val="7"/>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2126"/>
        <w:gridCol w:w="2130"/>
        <w:gridCol w:w="1417"/>
        <w:gridCol w:w="81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vAlign w:val="center"/>
          </w:tcPr>
          <w:p>
            <w:pPr>
              <w:spacing w:line="360" w:lineRule="auto"/>
              <w:jc w:val="both"/>
              <w:textAlignment w:val="center"/>
              <w:rPr>
                <w:b/>
                <w:bCs/>
                <w:sz w:val="24"/>
                <w:szCs w:val="24"/>
              </w:rPr>
            </w:pPr>
            <w:bookmarkStart w:id="0" w:name="_GoBack"/>
            <w:bookmarkEnd w:id="0"/>
            <w:r>
              <w:rPr>
                <w:rFonts w:hint="eastAsia"/>
                <w:b/>
                <w:bCs/>
                <w:sz w:val="24"/>
                <w:szCs w:val="24"/>
              </w:rPr>
              <w:t>序号</w:t>
            </w:r>
          </w:p>
        </w:tc>
        <w:tc>
          <w:tcPr>
            <w:tcW w:w="1248" w:type="pct"/>
            <w:vAlign w:val="center"/>
          </w:tcPr>
          <w:p>
            <w:pPr>
              <w:spacing w:line="360" w:lineRule="auto"/>
              <w:ind w:firstLine="482"/>
              <w:jc w:val="both"/>
              <w:textAlignment w:val="center"/>
              <w:rPr>
                <w:b/>
                <w:bCs/>
                <w:sz w:val="24"/>
                <w:szCs w:val="24"/>
              </w:rPr>
            </w:pPr>
            <w:r>
              <w:rPr>
                <w:rFonts w:hint="eastAsia"/>
                <w:b/>
                <w:bCs/>
                <w:sz w:val="24"/>
                <w:szCs w:val="24"/>
              </w:rPr>
              <w:t>标的名称</w:t>
            </w:r>
          </w:p>
        </w:tc>
        <w:tc>
          <w:tcPr>
            <w:tcW w:w="1250" w:type="pct"/>
            <w:vAlign w:val="center"/>
          </w:tcPr>
          <w:p>
            <w:pPr>
              <w:spacing w:line="360" w:lineRule="auto"/>
              <w:jc w:val="both"/>
              <w:textAlignment w:val="center"/>
              <w:rPr>
                <w:b/>
                <w:bCs/>
                <w:sz w:val="24"/>
                <w:szCs w:val="24"/>
              </w:rPr>
            </w:pPr>
            <w:r>
              <w:rPr>
                <w:rFonts w:hint="eastAsia"/>
                <w:b/>
                <w:bCs/>
                <w:sz w:val="24"/>
                <w:szCs w:val="24"/>
              </w:rPr>
              <w:t>品目分类编码</w:t>
            </w:r>
          </w:p>
        </w:tc>
        <w:tc>
          <w:tcPr>
            <w:tcW w:w="832" w:type="pct"/>
            <w:vAlign w:val="center"/>
          </w:tcPr>
          <w:p>
            <w:pPr>
              <w:spacing w:line="360" w:lineRule="auto"/>
              <w:jc w:val="both"/>
              <w:textAlignment w:val="center"/>
              <w:rPr>
                <w:b/>
                <w:bCs/>
                <w:sz w:val="24"/>
                <w:szCs w:val="24"/>
              </w:rPr>
            </w:pPr>
            <w:r>
              <w:rPr>
                <w:rFonts w:hint="eastAsia"/>
                <w:b/>
                <w:bCs/>
                <w:sz w:val="24"/>
                <w:szCs w:val="24"/>
              </w:rPr>
              <w:t>计量单位</w:t>
            </w:r>
          </w:p>
        </w:tc>
        <w:tc>
          <w:tcPr>
            <w:tcW w:w="480" w:type="pct"/>
            <w:vAlign w:val="center"/>
          </w:tcPr>
          <w:p>
            <w:pPr>
              <w:spacing w:line="360" w:lineRule="auto"/>
              <w:jc w:val="both"/>
              <w:textAlignment w:val="center"/>
              <w:rPr>
                <w:b/>
                <w:bCs/>
                <w:sz w:val="24"/>
                <w:szCs w:val="24"/>
              </w:rPr>
            </w:pPr>
            <w:r>
              <w:rPr>
                <w:rFonts w:hint="eastAsia"/>
                <w:b/>
                <w:bCs/>
                <w:sz w:val="24"/>
                <w:szCs w:val="24"/>
              </w:rPr>
              <w:t>数量</w:t>
            </w:r>
          </w:p>
        </w:tc>
        <w:tc>
          <w:tcPr>
            <w:tcW w:w="774" w:type="pct"/>
            <w:vAlign w:val="center"/>
          </w:tcPr>
          <w:p>
            <w:pPr>
              <w:spacing w:line="360" w:lineRule="auto"/>
              <w:jc w:val="both"/>
              <w:textAlignment w:val="center"/>
              <w:rPr>
                <w:b/>
                <w:bCs/>
                <w:sz w:val="24"/>
                <w:szCs w:val="24"/>
              </w:rPr>
            </w:pPr>
            <w:r>
              <w:rPr>
                <w:rFonts w:hint="eastAsia"/>
                <w:b/>
                <w:bCs/>
                <w:sz w:val="24"/>
                <w:szCs w:val="24"/>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 w:type="pct"/>
            <w:vAlign w:val="center"/>
          </w:tcPr>
          <w:p>
            <w:pPr>
              <w:spacing w:line="360" w:lineRule="auto"/>
              <w:jc w:val="center"/>
              <w:textAlignment w:val="center"/>
              <w:rPr>
                <w:b/>
                <w:bCs/>
                <w:sz w:val="24"/>
                <w:szCs w:val="24"/>
              </w:rPr>
            </w:pPr>
            <w:r>
              <w:rPr>
                <w:rFonts w:hint="eastAsia"/>
                <w:sz w:val="24"/>
                <w:szCs w:val="24"/>
              </w:rPr>
              <w:t>1</w:t>
            </w:r>
          </w:p>
        </w:tc>
        <w:tc>
          <w:tcPr>
            <w:tcW w:w="1248" w:type="pct"/>
            <w:vAlign w:val="center"/>
          </w:tcPr>
          <w:p>
            <w:pPr>
              <w:spacing w:line="360" w:lineRule="auto"/>
              <w:jc w:val="center"/>
              <w:textAlignment w:val="center"/>
              <w:rPr>
                <w:sz w:val="24"/>
                <w:szCs w:val="24"/>
              </w:rPr>
            </w:pPr>
            <w:r>
              <w:rPr>
                <w:rFonts w:hint="eastAsia"/>
                <w:sz w:val="24"/>
                <w:szCs w:val="24"/>
              </w:rPr>
              <w:t>西南科技大学2024年信息资源电信出口扩容服务采购项目</w:t>
            </w:r>
          </w:p>
        </w:tc>
        <w:tc>
          <w:tcPr>
            <w:tcW w:w="1250" w:type="pct"/>
            <w:vAlign w:val="center"/>
          </w:tcPr>
          <w:p>
            <w:pPr>
              <w:spacing w:line="360" w:lineRule="auto"/>
              <w:jc w:val="center"/>
              <w:textAlignment w:val="center"/>
              <w:rPr>
                <w:sz w:val="24"/>
                <w:szCs w:val="24"/>
              </w:rPr>
            </w:pPr>
            <w:r>
              <w:rPr>
                <w:rFonts w:hint="eastAsia"/>
                <w:sz w:val="24"/>
                <w:szCs w:val="24"/>
              </w:rPr>
              <w:t>C17010100</w:t>
            </w:r>
          </w:p>
        </w:tc>
        <w:tc>
          <w:tcPr>
            <w:tcW w:w="832" w:type="pct"/>
            <w:vAlign w:val="center"/>
          </w:tcPr>
          <w:p>
            <w:pPr>
              <w:spacing w:line="360" w:lineRule="auto"/>
              <w:jc w:val="center"/>
              <w:textAlignment w:val="center"/>
              <w:rPr>
                <w:sz w:val="24"/>
                <w:szCs w:val="24"/>
              </w:rPr>
            </w:pPr>
            <w:r>
              <w:rPr>
                <w:rFonts w:hint="eastAsia"/>
                <w:sz w:val="24"/>
                <w:szCs w:val="24"/>
              </w:rPr>
              <w:t>项</w:t>
            </w:r>
          </w:p>
        </w:tc>
        <w:tc>
          <w:tcPr>
            <w:tcW w:w="480" w:type="pct"/>
            <w:vAlign w:val="center"/>
          </w:tcPr>
          <w:p>
            <w:pPr>
              <w:spacing w:line="360" w:lineRule="auto"/>
              <w:jc w:val="center"/>
              <w:textAlignment w:val="center"/>
              <w:rPr>
                <w:sz w:val="24"/>
                <w:szCs w:val="24"/>
              </w:rPr>
            </w:pPr>
            <w:r>
              <w:rPr>
                <w:rFonts w:hint="eastAsia"/>
                <w:sz w:val="24"/>
                <w:szCs w:val="24"/>
              </w:rPr>
              <w:t>1</w:t>
            </w:r>
          </w:p>
        </w:tc>
        <w:tc>
          <w:tcPr>
            <w:tcW w:w="774" w:type="pct"/>
            <w:vAlign w:val="center"/>
          </w:tcPr>
          <w:p>
            <w:pPr>
              <w:spacing w:line="360" w:lineRule="auto"/>
              <w:jc w:val="center"/>
              <w:textAlignment w:val="center"/>
              <w:rPr>
                <w:sz w:val="24"/>
                <w:szCs w:val="24"/>
              </w:rPr>
            </w:pPr>
            <w:r>
              <w:rPr>
                <w:rFonts w:hint="eastAsia"/>
                <w:sz w:val="24"/>
                <w:szCs w:val="24"/>
              </w:rPr>
              <w:t>否</w:t>
            </w:r>
          </w:p>
        </w:tc>
      </w:tr>
    </w:tbl>
    <w:p>
      <w:pPr>
        <w:numPr>
          <w:ilvl w:val="0"/>
          <w:numId w:val="1"/>
        </w:numPr>
        <w:spacing w:line="360" w:lineRule="auto"/>
        <w:ind w:firstLine="480" w:firstLineChars="200"/>
        <w:rPr>
          <w:sz w:val="24"/>
          <w:szCs w:val="24"/>
          <w:lang w:val="en-US"/>
        </w:rPr>
      </w:pPr>
      <w:r>
        <w:rPr>
          <w:rFonts w:hint="eastAsia"/>
          <w:sz w:val="24"/>
          <w:szCs w:val="24"/>
          <w:lang w:val="en-US"/>
        </w:rPr>
        <w:t>技术及服务要求</w:t>
      </w:r>
    </w:p>
    <w:p>
      <w:pPr>
        <w:spacing w:line="360" w:lineRule="auto"/>
        <w:ind w:firstLine="480" w:firstLineChars="200"/>
        <w:rPr>
          <w:sz w:val="24"/>
          <w:szCs w:val="24"/>
          <w:lang w:val="en-US"/>
        </w:rPr>
      </w:pPr>
      <w:r>
        <w:rPr>
          <w:sz w:val="24"/>
          <w:szCs w:val="24"/>
          <w:lang w:val="en-US"/>
        </w:rPr>
        <w:t>（一）技术参数要求</w:t>
      </w:r>
    </w:p>
    <w:p>
      <w:pPr>
        <w:spacing w:line="360" w:lineRule="auto"/>
        <w:ind w:firstLine="480" w:firstLineChars="200"/>
        <w:rPr>
          <w:sz w:val="24"/>
          <w:szCs w:val="24"/>
          <w:lang w:val="en-US"/>
        </w:rPr>
      </w:pPr>
      <w:r>
        <w:rPr>
          <w:sz w:val="24"/>
          <w:szCs w:val="24"/>
          <w:lang w:val="en-US"/>
        </w:rPr>
        <w:t>1.1500M互联网光纤专线接入,上行1500M,下行1500M。</w:t>
      </w:r>
    </w:p>
    <w:p>
      <w:pPr>
        <w:spacing w:line="360" w:lineRule="auto"/>
        <w:ind w:firstLine="480" w:firstLineChars="200"/>
        <w:rPr>
          <w:sz w:val="24"/>
          <w:szCs w:val="24"/>
          <w:lang w:val="en-US"/>
        </w:rPr>
      </w:pPr>
      <w:r>
        <w:rPr>
          <w:sz w:val="24"/>
          <w:szCs w:val="24"/>
          <w:lang w:val="en-US"/>
        </w:rPr>
        <w:t>2.提供不少于256个公网IPv4地址，用于应用系统NAT映射。</w:t>
      </w:r>
    </w:p>
    <w:p>
      <w:pPr>
        <w:spacing w:line="360" w:lineRule="auto"/>
        <w:ind w:firstLine="480" w:firstLineChars="200"/>
        <w:rPr>
          <w:sz w:val="24"/>
          <w:szCs w:val="24"/>
          <w:lang w:val="en-US"/>
        </w:rPr>
      </w:pPr>
      <w:r>
        <w:rPr>
          <w:sz w:val="24"/>
          <w:szCs w:val="24"/>
          <w:lang w:val="en-US"/>
        </w:rPr>
        <w:t>3.供应商提供的线路误码率应在：（BER）≤10E-9，有效传输速率不低于带宽的90%。</w:t>
      </w:r>
    </w:p>
    <w:p>
      <w:pPr>
        <w:spacing w:line="360" w:lineRule="auto"/>
        <w:ind w:firstLine="480" w:firstLineChars="200"/>
        <w:rPr>
          <w:sz w:val="24"/>
          <w:szCs w:val="24"/>
          <w:lang w:val="en-US"/>
        </w:rPr>
      </w:pPr>
      <w:r>
        <w:rPr>
          <w:sz w:val="24"/>
          <w:szCs w:val="24"/>
          <w:lang w:val="en-US"/>
        </w:rPr>
        <w:t>4.按照采购人提供的开通时间按期开通互联网带宽。</w:t>
      </w:r>
    </w:p>
    <w:p>
      <w:pPr>
        <w:spacing w:line="360" w:lineRule="auto"/>
        <w:ind w:firstLine="480" w:firstLineChars="200"/>
        <w:rPr>
          <w:sz w:val="24"/>
          <w:szCs w:val="24"/>
          <w:lang w:val="en-US"/>
        </w:rPr>
      </w:pPr>
      <w:r>
        <w:rPr>
          <w:sz w:val="24"/>
          <w:szCs w:val="24"/>
          <w:lang w:val="en-US"/>
        </w:rPr>
        <w:t>5.服务期限内，供应商须免费提供线路迁移服务。</w:t>
      </w:r>
    </w:p>
    <w:p>
      <w:pPr>
        <w:spacing w:line="360" w:lineRule="auto"/>
        <w:ind w:firstLine="480" w:firstLineChars="200"/>
        <w:rPr>
          <w:sz w:val="24"/>
          <w:szCs w:val="24"/>
          <w:lang w:val="en-US"/>
        </w:rPr>
      </w:pPr>
      <w:r>
        <w:rPr>
          <w:sz w:val="24"/>
          <w:szCs w:val="24"/>
          <w:lang w:val="en-US"/>
        </w:rPr>
        <w:t>6.本地城域网骨干互联网出口带宽1000GB以上。</w:t>
      </w:r>
    </w:p>
    <w:p>
      <w:pPr>
        <w:spacing w:line="360" w:lineRule="auto"/>
        <w:ind w:firstLine="480" w:firstLineChars="200"/>
        <w:rPr>
          <w:sz w:val="24"/>
          <w:szCs w:val="24"/>
          <w:lang w:val="en-US"/>
        </w:rPr>
      </w:pPr>
      <w:r>
        <w:rPr>
          <w:sz w:val="24"/>
          <w:szCs w:val="24"/>
          <w:lang w:val="en-US"/>
        </w:rPr>
        <w:t>7.骨干网须采用先进传输环网技术、具有自我保护和恢复能力，确保网络结构安全。</w:t>
      </w:r>
    </w:p>
    <w:p>
      <w:pPr>
        <w:spacing w:line="360" w:lineRule="auto"/>
        <w:ind w:firstLine="480" w:firstLineChars="200"/>
        <w:rPr>
          <w:sz w:val="24"/>
          <w:szCs w:val="24"/>
          <w:lang w:val="en-US"/>
        </w:rPr>
      </w:pPr>
      <w:r>
        <w:rPr>
          <w:sz w:val="24"/>
          <w:szCs w:val="24"/>
          <w:lang w:val="en-US"/>
        </w:rPr>
        <w:t>（二）服务要求</w:t>
      </w:r>
    </w:p>
    <w:p>
      <w:pPr>
        <w:spacing w:line="360" w:lineRule="auto"/>
        <w:ind w:firstLine="480" w:firstLineChars="200"/>
        <w:rPr>
          <w:sz w:val="24"/>
          <w:szCs w:val="24"/>
          <w:lang w:val="en-US"/>
        </w:rPr>
      </w:pPr>
      <w:r>
        <w:rPr>
          <w:sz w:val="24"/>
          <w:szCs w:val="24"/>
          <w:lang w:val="en-US"/>
        </w:rPr>
        <w:t>供应商应建立完善的服务体系，须在互联网带宽出租期间提供以下服务：</w:t>
      </w:r>
    </w:p>
    <w:p>
      <w:pPr>
        <w:spacing w:line="360" w:lineRule="auto"/>
        <w:ind w:firstLine="480" w:firstLineChars="200"/>
        <w:rPr>
          <w:sz w:val="24"/>
          <w:szCs w:val="24"/>
          <w:lang w:val="en-US"/>
        </w:rPr>
      </w:pPr>
      <w:r>
        <w:rPr>
          <w:sz w:val="24"/>
          <w:szCs w:val="24"/>
          <w:lang w:val="en-US"/>
        </w:rPr>
        <w:t>1.一站式客户服务体系</w:t>
      </w:r>
    </w:p>
    <w:p>
      <w:pPr>
        <w:spacing w:line="360" w:lineRule="auto"/>
        <w:ind w:firstLine="480" w:firstLineChars="200"/>
        <w:rPr>
          <w:sz w:val="24"/>
          <w:szCs w:val="24"/>
          <w:lang w:val="en-US"/>
        </w:rPr>
      </w:pPr>
      <w:r>
        <w:rPr>
          <w:sz w:val="24"/>
          <w:szCs w:val="24"/>
          <w:lang w:val="en-US"/>
        </w:rPr>
        <w:t>（1）供应商提供端到端全过程（即售前、售中、售后）一站式服务；满足24小时×365天的质量保证。一站式服务包括：一点业务咨询、一点业务受理、一点故障申告、一点计费结算、一点技术支持。</w:t>
      </w:r>
    </w:p>
    <w:p>
      <w:pPr>
        <w:spacing w:line="360" w:lineRule="auto"/>
        <w:ind w:firstLine="480" w:firstLineChars="200"/>
        <w:rPr>
          <w:sz w:val="24"/>
          <w:szCs w:val="24"/>
          <w:lang w:val="en-US"/>
        </w:rPr>
      </w:pPr>
      <w:r>
        <w:rPr>
          <w:sz w:val="24"/>
          <w:szCs w:val="24"/>
          <w:lang w:val="en-US"/>
        </w:rPr>
        <w:t>（2）供应商须提供各地子公司技术支持通讯录以及7×24小时电话技术支持和故障申告服务。</w:t>
      </w:r>
    </w:p>
    <w:p>
      <w:pPr>
        <w:spacing w:line="360" w:lineRule="auto"/>
        <w:ind w:firstLine="480" w:firstLineChars="200"/>
        <w:rPr>
          <w:sz w:val="24"/>
          <w:szCs w:val="24"/>
          <w:lang w:val="en-US"/>
        </w:rPr>
      </w:pPr>
      <w:r>
        <w:rPr>
          <w:sz w:val="24"/>
          <w:szCs w:val="24"/>
          <w:lang w:val="en-US"/>
        </w:rPr>
        <w:t>（3）采购人在使用租用带宽的过程中发现的任何问题均可向供应商区域内各网点申告，供应商负责故障的全程处理，应建立“首问负责制”。</w:t>
      </w:r>
    </w:p>
    <w:p>
      <w:pPr>
        <w:spacing w:line="360" w:lineRule="auto"/>
        <w:ind w:firstLine="480" w:firstLineChars="200"/>
        <w:rPr>
          <w:sz w:val="24"/>
          <w:szCs w:val="24"/>
          <w:lang w:val="en-US"/>
        </w:rPr>
      </w:pPr>
      <w:r>
        <w:rPr>
          <w:sz w:val="24"/>
          <w:szCs w:val="24"/>
          <w:lang w:val="en-US"/>
        </w:rPr>
        <w:t>2.故障响应服务</w:t>
      </w:r>
    </w:p>
    <w:p>
      <w:pPr>
        <w:spacing w:line="360" w:lineRule="auto"/>
        <w:ind w:firstLine="480" w:firstLineChars="200"/>
        <w:rPr>
          <w:sz w:val="24"/>
          <w:szCs w:val="24"/>
          <w:lang w:val="en-US"/>
        </w:rPr>
      </w:pPr>
      <w:r>
        <w:rPr>
          <w:sz w:val="24"/>
          <w:szCs w:val="24"/>
          <w:lang w:val="en-US"/>
        </w:rPr>
        <w:t>（1）供应商应配合采购人进行互联网网络故障的诊断和排除。</w:t>
      </w:r>
    </w:p>
    <w:p>
      <w:pPr>
        <w:spacing w:line="360" w:lineRule="auto"/>
        <w:ind w:firstLine="480" w:firstLineChars="200"/>
        <w:rPr>
          <w:sz w:val="24"/>
          <w:szCs w:val="24"/>
          <w:lang w:val="en-US"/>
        </w:rPr>
      </w:pPr>
      <w:r>
        <w:rPr>
          <w:sz w:val="24"/>
          <w:szCs w:val="24"/>
          <w:lang w:val="en-US"/>
        </w:rPr>
        <w:t>（2）供应商承诺对故障申告响应时间小于15分钟，线路恢复时间一般小于2小时，个别特殊情况（如光缆受损）最长不超过4小时。</w:t>
      </w:r>
    </w:p>
    <w:p>
      <w:pPr>
        <w:spacing w:line="360" w:lineRule="auto"/>
        <w:ind w:firstLine="480" w:firstLineChars="200"/>
        <w:rPr>
          <w:sz w:val="24"/>
          <w:szCs w:val="24"/>
          <w:lang w:val="en-US"/>
        </w:rPr>
      </w:pPr>
      <w:r>
        <w:rPr>
          <w:sz w:val="24"/>
          <w:szCs w:val="24"/>
          <w:lang w:val="en-US"/>
        </w:rPr>
        <w:t>（3）当电路故障处理完毕后，供应商应在15分钟内通知采购人，并在三个工作日内向采购人提交书面故障报告。</w:t>
      </w:r>
    </w:p>
    <w:p>
      <w:pPr>
        <w:spacing w:line="360" w:lineRule="auto"/>
        <w:ind w:firstLine="480" w:firstLineChars="200"/>
        <w:rPr>
          <w:sz w:val="24"/>
          <w:szCs w:val="24"/>
          <w:lang w:val="en-US"/>
        </w:rPr>
      </w:pPr>
      <w:r>
        <w:rPr>
          <w:sz w:val="24"/>
          <w:szCs w:val="24"/>
          <w:lang w:val="en-US"/>
        </w:rPr>
        <w:t>（4）所有属于供应商的通讯设备终端，如发生故障或损坏，须由供应商负责维修或更换。</w:t>
      </w:r>
    </w:p>
    <w:p>
      <w:pPr>
        <w:spacing w:line="360" w:lineRule="auto"/>
        <w:ind w:firstLine="480" w:firstLineChars="200"/>
        <w:rPr>
          <w:sz w:val="24"/>
          <w:szCs w:val="24"/>
          <w:lang w:val="en-US"/>
        </w:rPr>
      </w:pPr>
      <w:r>
        <w:rPr>
          <w:sz w:val="24"/>
          <w:szCs w:val="24"/>
          <w:lang w:val="en-US"/>
        </w:rPr>
        <w:t>3.运维体系</w:t>
      </w:r>
    </w:p>
    <w:p>
      <w:pPr>
        <w:spacing w:line="360" w:lineRule="auto"/>
        <w:ind w:firstLine="480" w:firstLineChars="200"/>
        <w:rPr>
          <w:sz w:val="24"/>
          <w:szCs w:val="24"/>
          <w:lang w:val="en-US"/>
        </w:rPr>
      </w:pPr>
      <w:r>
        <w:rPr>
          <w:sz w:val="24"/>
          <w:szCs w:val="24"/>
          <w:lang w:val="en-US"/>
        </w:rPr>
        <w:t>（1）供应商应对互联网带宽质量提供长期、不间断的监测，一旦发现问题须在2小时内解决并告知采购人。</w:t>
      </w:r>
    </w:p>
    <w:p>
      <w:pPr>
        <w:spacing w:line="360" w:lineRule="auto"/>
        <w:ind w:firstLine="480" w:firstLineChars="200"/>
        <w:rPr>
          <w:sz w:val="24"/>
          <w:szCs w:val="24"/>
          <w:lang w:val="en-US"/>
        </w:rPr>
      </w:pPr>
      <w:r>
        <w:rPr>
          <w:sz w:val="24"/>
          <w:szCs w:val="24"/>
          <w:lang w:val="en-US"/>
        </w:rPr>
        <w:t>（2）供应商应每季度向采购人提交互联网网络的运行质量分析报告，提出网络优化建议。</w:t>
      </w:r>
    </w:p>
    <w:p>
      <w:pPr>
        <w:spacing w:line="360" w:lineRule="auto"/>
        <w:ind w:firstLine="480" w:firstLineChars="200"/>
        <w:rPr>
          <w:sz w:val="24"/>
          <w:szCs w:val="24"/>
          <w:lang w:val="en-US"/>
        </w:rPr>
      </w:pPr>
      <w:r>
        <w:rPr>
          <w:sz w:val="24"/>
          <w:szCs w:val="24"/>
          <w:lang w:val="en-US"/>
        </w:rPr>
        <w:t>（3）供应商如需优化网络，应提前48小时通知采购人，经协商同意后</w:t>
      </w:r>
      <w:r>
        <w:rPr>
          <w:rFonts w:hint="eastAsia"/>
          <w:sz w:val="24"/>
          <w:szCs w:val="24"/>
          <w:lang w:val="en-US"/>
        </w:rPr>
        <w:t>方可</w:t>
      </w:r>
      <w:r>
        <w:rPr>
          <w:sz w:val="24"/>
          <w:szCs w:val="24"/>
          <w:lang w:val="en-US"/>
        </w:rPr>
        <w:t>实施，不能影响采购人的正常业务</w:t>
      </w:r>
      <w:r>
        <w:rPr>
          <w:rFonts w:hint="eastAsia"/>
          <w:sz w:val="24"/>
          <w:szCs w:val="24"/>
          <w:lang w:val="en-US"/>
        </w:rPr>
        <w:t>开展</w:t>
      </w:r>
      <w:r>
        <w:rPr>
          <w:sz w:val="24"/>
          <w:szCs w:val="24"/>
          <w:lang w:val="en-US"/>
        </w:rPr>
        <w:t>。</w:t>
      </w:r>
    </w:p>
    <w:p>
      <w:pPr>
        <w:spacing w:line="360" w:lineRule="auto"/>
        <w:ind w:firstLine="480" w:firstLineChars="200"/>
        <w:rPr>
          <w:sz w:val="24"/>
          <w:szCs w:val="24"/>
          <w:lang w:val="en-US"/>
        </w:rPr>
      </w:pPr>
      <w:r>
        <w:rPr>
          <w:sz w:val="24"/>
          <w:szCs w:val="24"/>
          <w:lang w:val="en-US"/>
        </w:rPr>
        <w:t>4.其他服务维护保证</w:t>
      </w:r>
    </w:p>
    <w:p>
      <w:pPr>
        <w:spacing w:line="360" w:lineRule="auto"/>
        <w:ind w:firstLine="480" w:firstLineChars="200"/>
        <w:rPr>
          <w:sz w:val="24"/>
          <w:szCs w:val="24"/>
          <w:lang w:val="en-US"/>
        </w:rPr>
      </w:pPr>
      <w:r>
        <w:rPr>
          <w:sz w:val="24"/>
          <w:szCs w:val="24"/>
          <w:lang w:val="en-US"/>
        </w:rPr>
        <w:t>（1）建立完备客户档案：待网络建设完毕后，供应商须对相应的网络、设备进行特殊标记以保证客户相关维护资料的准确性；建立详细、完备的网络资料档案和网络运行档案，并提交采购人，为保证网络稳定运行提供良好的物质条件。</w:t>
      </w:r>
    </w:p>
    <w:p>
      <w:pPr>
        <w:spacing w:line="360" w:lineRule="auto"/>
        <w:ind w:firstLine="480" w:firstLineChars="200"/>
        <w:rPr>
          <w:sz w:val="24"/>
          <w:szCs w:val="24"/>
          <w:lang w:val="en-US"/>
        </w:rPr>
      </w:pPr>
      <w:r>
        <w:rPr>
          <w:sz w:val="24"/>
          <w:szCs w:val="24"/>
          <w:lang w:val="en-US"/>
        </w:rPr>
        <w:t>（2）供应商应具备应急通信能力，如遇不可抗力因素（如地震、洪水等）造成的线路阻断，供应商应在短期内采用应急手段恢复通信。</w:t>
      </w:r>
    </w:p>
    <w:p>
      <w:pPr>
        <w:spacing w:line="360" w:lineRule="auto"/>
        <w:ind w:firstLine="480" w:firstLineChars="200"/>
        <w:rPr>
          <w:sz w:val="24"/>
          <w:szCs w:val="24"/>
          <w:lang w:val="en-US"/>
        </w:rPr>
      </w:pPr>
      <w:r>
        <w:rPr>
          <w:sz w:val="24"/>
          <w:szCs w:val="24"/>
          <w:lang w:val="en-US"/>
        </w:rPr>
        <w:t>（3）</w:t>
      </w:r>
      <w:r>
        <w:rPr>
          <w:b/>
          <w:bCs/>
          <w:sz w:val="24"/>
          <w:szCs w:val="24"/>
          <w:lang w:val="en-US"/>
        </w:rPr>
        <w:t>供应商</w:t>
      </w:r>
      <w:r>
        <w:rPr>
          <w:rFonts w:hint="eastAsia"/>
          <w:b/>
          <w:bCs/>
          <w:sz w:val="24"/>
          <w:szCs w:val="24"/>
          <w:lang w:val="en-US"/>
        </w:rPr>
        <w:t>投标时需提供</w:t>
      </w:r>
      <w:r>
        <w:rPr>
          <w:b/>
          <w:bCs/>
          <w:sz w:val="24"/>
          <w:szCs w:val="24"/>
          <w:lang w:val="en-US"/>
        </w:rPr>
        <w:t>完善的紧急故障处理流程及应急方案，保证紧急情况下快速故障处理，缩短故障处理时限。</w:t>
      </w:r>
    </w:p>
    <w:p>
      <w:pPr>
        <w:spacing w:line="360" w:lineRule="auto"/>
        <w:ind w:firstLine="480" w:firstLineChars="200"/>
        <w:rPr>
          <w:sz w:val="24"/>
          <w:szCs w:val="24"/>
          <w:lang w:val="en-US"/>
        </w:rPr>
      </w:pPr>
      <w:r>
        <w:rPr>
          <w:rFonts w:hint="eastAsia"/>
          <w:sz w:val="24"/>
          <w:szCs w:val="24"/>
          <w:lang w:val="en-US"/>
        </w:rPr>
        <w:t>四、商务要求</w:t>
      </w:r>
    </w:p>
    <w:p>
      <w:pPr>
        <w:pStyle w:val="9"/>
        <w:spacing w:line="360" w:lineRule="auto"/>
        <w:ind w:left="0" w:firstLine="480" w:firstLineChars="200"/>
        <w:rPr>
          <w:rFonts w:eastAsia="宋体"/>
          <w:sz w:val="24"/>
          <w:szCs w:val="24"/>
        </w:rPr>
      </w:pPr>
      <w:r>
        <w:rPr>
          <w:rFonts w:hint="eastAsia" w:eastAsia="宋体"/>
          <w:sz w:val="24"/>
          <w:szCs w:val="24"/>
        </w:rPr>
        <w:t>1、</w:t>
      </w:r>
      <w:r>
        <w:rPr>
          <w:rFonts w:hint="eastAsia" w:eastAsia="宋体"/>
          <w:color w:val="auto"/>
          <w:sz w:val="24"/>
          <w:szCs w:val="24"/>
          <w:highlight w:val="none"/>
        </w:rPr>
        <w:t>服务期限：</w:t>
      </w:r>
      <w:r>
        <w:rPr>
          <w:rFonts w:eastAsia="宋体"/>
          <w:color w:val="auto"/>
          <w:sz w:val="24"/>
          <w:szCs w:val="24"/>
          <w:highlight w:val="none"/>
          <w:lang w:val="en-US"/>
        </w:rPr>
        <w:t>2024</w:t>
      </w:r>
      <w:r>
        <w:rPr>
          <w:rFonts w:hint="eastAsia" w:eastAsia="宋体"/>
          <w:color w:val="auto"/>
          <w:sz w:val="24"/>
          <w:szCs w:val="24"/>
          <w:highlight w:val="none"/>
          <w:lang w:val="en-US"/>
        </w:rPr>
        <w:t>年3月</w:t>
      </w:r>
      <w:r>
        <w:rPr>
          <w:rFonts w:eastAsia="宋体"/>
          <w:color w:val="auto"/>
          <w:sz w:val="24"/>
          <w:szCs w:val="24"/>
          <w:highlight w:val="none"/>
          <w:lang w:val="en-US"/>
        </w:rPr>
        <w:t>28</w:t>
      </w:r>
      <w:r>
        <w:rPr>
          <w:rFonts w:hint="eastAsia" w:eastAsia="宋体"/>
          <w:color w:val="auto"/>
          <w:sz w:val="24"/>
          <w:szCs w:val="24"/>
          <w:highlight w:val="none"/>
          <w:lang w:val="en-US"/>
        </w:rPr>
        <w:t>日至2</w:t>
      </w:r>
      <w:r>
        <w:rPr>
          <w:rFonts w:eastAsia="宋体"/>
          <w:color w:val="auto"/>
          <w:sz w:val="24"/>
          <w:szCs w:val="24"/>
          <w:highlight w:val="none"/>
          <w:lang w:val="en-US"/>
        </w:rPr>
        <w:t>024</w:t>
      </w:r>
      <w:r>
        <w:rPr>
          <w:rFonts w:hint="eastAsia" w:eastAsia="宋体"/>
          <w:color w:val="auto"/>
          <w:sz w:val="24"/>
          <w:szCs w:val="24"/>
          <w:highlight w:val="none"/>
          <w:lang w:val="en-US"/>
        </w:rPr>
        <w:t>年1</w:t>
      </w:r>
      <w:r>
        <w:rPr>
          <w:rFonts w:eastAsia="宋体"/>
          <w:color w:val="auto"/>
          <w:sz w:val="24"/>
          <w:szCs w:val="24"/>
          <w:highlight w:val="none"/>
          <w:lang w:val="en-US"/>
        </w:rPr>
        <w:t>1</w:t>
      </w:r>
      <w:r>
        <w:rPr>
          <w:rFonts w:hint="eastAsia" w:eastAsia="宋体"/>
          <w:color w:val="auto"/>
          <w:sz w:val="24"/>
          <w:szCs w:val="24"/>
          <w:highlight w:val="none"/>
          <w:lang w:val="en-US"/>
        </w:rPr>
        <w:t>月</w:t>
      </w:r>
      <w:r>
        <w:rPr>
          <w:rFonts w:eastAsia="宋体"/>
          <w:color w:val="auto"/>
          <w:sz w:val="24"/>
          <w:szCs w:val="24"/>
          <w:highlight w:val="none"/>
          <w:lang w:val="en-US"/>
        </w:rPr>
        <w:t>28</w:t>
      </w:r>
      <w:r>
        <w:rPr>
          <w:rFonts w:hint="eastAsia" w:eastAsia="宋体"/>
          <w:color w:val="auto"/>
          <w:sz w:val="24"/>
          <w:szCs w:val="24"/>
          <w:highlight w:val="none"/>
          <w:lang w:val="en-US"/>
        </w:rPr>
        <w:t>日</w:t>
      </w:r>
      <w:r>
        <w:rPr>
          <w:rFonts w:hint="eastAsia" w:eastAsia="宋体"/>
          <w:color w:val="auto"/>
          <w:sz w:val="24"/>
          <w:szCs w:val="24"/>
          <w:highlight w:val="none"/>
        </w:rPr>
        <w:t>。</w:t>
      </w:r>
    </w:p>
    <w:p>
      <w:pPr>
        <w:spacing w:line="360" w:lineRule="auto"/>
        <w:ind w:firstLine="480" w:firstLineChars="200"/>
        <w:rPr>
          <w:iCs/>
          <w:sz w:val="24"/>
        </w:rPr>
      </w:pPr>
      <w:r>
        <w:rPr>
          <w:rFonts w:hint="eastAsia"/>
          <w:sz w:val="24"/>
        </w:rPr>
        <w:t>2、服务地点：</w:t>
      </w:r>
      <w:r>
        <w:rPr>
          <w:rFonts w:hint="eastAsia"/>
          <w:sz w:val="24"/>
          <w:lang w:val="en-US"/>
        </w:rPr>
        <w:t>西南科技大学</w:t>
      </w:r>
      <w:r>
        <w:rPr>
          <w:rFonts w:hint="eastAsia"/>
          <w:iCs/>
          <w:sz w:val="24"/>
        </w:rPr>
        <w:t>。</w:t>
      </w:r>
    </w:p>
    <w:p>
      <w:pPr>
        <w:pStyle w:val="10"/>
        <w:spacing w:line="360" w:lineRule="auto"/>
        <w:ind w:firstLine="480" w:firstLineChars="200"/>
        <w:rPr>
          <w:rFonts w:ascii="宋体" w:hAnsi="宋体" w:cs="宋体"/>
          <w:sz w:val="24"/>
          <w:szCs w:val="24"/>
        </w:rPr>
      </w:pPr>
      <w:r>
        <w:rPr>
          <w:rFonts w:hint="eastAsia" w:ascii="宋体" w:hAnsi="宋体" w:cs="宋体"/>
          <w:iCs/>
          <w:sz w:val="24"/>
          <w:szCs w:val="24"/>
        </w:rPr>
        <w:t>3、付款方式：</w:t>
      </w:r>
      <w:r>
        <w:rPr>
          <w:rFonts w:hint="eastAsia" w:ascii="宋体" w:hAnsi="宋体" w:cs="宋体"/>
          <w:sz w:val="24"/>
          <w:szCs w:val="24"/>
        </w:rPr>
        <w:t>项目验收完成，达到付款条件一次性支付合同金额的100%。</w:t>
      </w:r>
    </w:p>
    <w:p>
      <w:pPr>
        <w:pStyle w:val="5"/>
        <w:spacing w:line="360" w:lineRule="auto"/>
        <w:ind w:firstLine="480" w:firstLineChars="200"/>
        <w:rPr>
          <w:bCs/>
        </w:rPr>
      </w:pPr>
      <w:r>
        <w:rPr>
          <w:rFonts w:hint="eastAsia"/>
        </w:rPr>
        <w:t>4、</w:t>
      </w:r>
      <w:r>
        <w:rPr>
          <w:rFonts w:hint="eastAsia"/>
          <w:bCs/>
        </w:rPr>
        <w:t>验收:</w:t>
      </w:r>
    </w:p>
    <w:p>
      <w:pPr>
        <w:pStyle w:val="5"/>
        <w:spacing w:line="360" w:lineRule="auto"/>
        <w:ind w:firstLine="480" w:firstLineChars="200"/>
        <w:rPr>
          <w:bCs/>
        </w:rPr>
      </w:pPr>
      <w:r>
        <w:rPr>
          <w:rFonts w:hint="eastAsia"/>
          <w:bCs/>
        </w:rPr>
        <w:t>（1）验收标准：依据《财政部关于进一步加强政府采购需求和履约验收管理的指导意见》（财库〔2016〕205 号）、《绵阳市财政局关于进一步做好政府采购项目履约验收工作的通知》(绵财采〔2021〕15 号)、《西南科技大学货物、服务采购项目履约验收管理办法》（西南科大资实字〔2018〕10 号）的有关要求组织实施。</w:t>
      </w:r>
    </w:p>
    <w:p>
      <w:pPr>
        <w:pStyle w:val="5"/>
        <w:spacing w:line="360" w:lineRule="auto"/>
        <w:ind w:firstLine="480" w:firstLineChars="200"/>
        <w:rPr>
          <w:bCs/>
        </w:rPr>
      </w:pPr>
      <w:r>
        <w:rPr>
          <w:rFonts w:hint="eastAsia"/>
          <w:bCs/>
        </w:rPr>
        <w:t>（2）验收内容：采购人依据合同条款、</w:t>
      </w:r>
      <w:r>
        <w:rPr>
          <w:rFonts w:hint="eastAsia"/>
          <w:bCs/>
          <w:lang w:val="en-US"/>
        </w:rPr>
        <w:t>采购</w:t>
      </w:r>
      <w:r>
        <w:rPr>
          <w:rFonts w:hint="eastAsia"/>
          <w:bCs/>
        </w:rPr>
        <w:t>文件要求以及供应商文件响应及承诺内容进行验收。</w:t>
      </w:r>
    </w:p>
    <w:p>
      <w:pPr>
        <w:spacing w:line="360" w:lineRule="auto"/>
        <w:ind w:firstLine="480" w:firstLineChars="200"/>
        <w:rPr>
          <w:bCs/>
          <w:sz w:val="24"/>
        </w:rPr>
      </w:pPr>
      <w:r>
        <w:rPr>
          <w:rFonts w:hint="eastAsia"/>
          <w:bCs/>
          <w:sz w:val="24"/>
        </w:rPr>
        <w:t>（3）验收程序：由采购人在收到中标人验收申请后</w:t>
      </w:r>
      <w:r>
        <w:rPr>
          <w:rFonts w:hint="eastAsia"/>
          <w:bCs/>
          <w:sz w:val="24"/>
          <w:lang w:val="en-US"/>
        </w:rPr>
        <w:t>7</w:t>
      </w:r>
      <w:r>
        <w:rPr>
          <w:rFonts w:hint="eastAsia"/>
          <w:bCs/>
          <w:sz w:val="24"/>
        </w:rPr>
        <w:t>日内自行组织校内验收。</w:t>
      </w:r>
    </w:p>
    <w:p>
      <w:pPr>
        <w:spacing w:line="360" w:lineRule="auto"/>
        <w:ind w:firstLine="480" w:firstLineChars="200"/>
        <w:rPr>
          <w:rStyle w:val="11"/>
          <w:rFonts w:ascii="宋体" w:hAnsi="宋体" w:cs="宋体"/>
          <w:sz w:val="24"/>
        </w:rPr>
      </w:pPr>
      <w:r>
        <w:rPr>
          <w:rFonts w:hint="eastAsia"/>
          <w:sz w:val="24"/>
        </w:rPr>
        <w:t>5、</w:t>
      </w:r>
      <w:r>
        <w:rPr>
          <w:rStyle w:val="11"/>
          <w:rFonts w:hint="eastAsia" w:ascii="宋体" w:hAnsi="宋体" w:cs="宋体"/>
          <w:sz w:val="24"/>
        </w:rPr>
        <w:t>违约责任及解决争议的方法：</w:t>
      </w:r>
    </w:p>
    <w:p>
      <w:pPr>
        <w:spacing w:line="360" w:lineRule="auto"/>
        <w:ind w:firstLine="480" w:firstLineChars="200"/>
        <w:rPr>
          <w:rStyle w:val="11"/>
          <w:rFonts w:ascii="宋体" w:hAnsi="宋体" w:cs="宋体"/>
          <w:sz w:val="24"/>
        </w:rPr>
      </w:pPr>
      <w:r>
        <w:rPr>
          <w:rStyle w:val="11"/>
          <w:rFonts w:hint="eastAsia" w:ascii="宋体" w:hAnsi="宋体" w:cs="宋体"/>
          <w:sz w:val="24"/>
        </w:rPr>
        <w:t>5.1违约责任：</w:t>
      </w:r>
    </w:p>
    <w:p>
      <w:pPr>
        <w:spacing w:line="360" w:lineRule="auto"/>
        <w:ind w:firstLine="480" w:firstLineChars="200"/>
        <w:rPr>
          <w:rStyle w:val="11"/>
          <w:rFonts w:ascii="宋体" w:hAnsi="宋体" w:cs="宋体"/>
          <w:sz w:val="24"/>
        </w:rPr>
      </w:pPr>
      <w:r>
        <w:rPr>
          <w:rStyle w:val="11"/>
          <w:rFonts w:hint="eastAsia" w:ascii="宋体" w:hAnsi="宋体" w:cs="宋体"/>
          <w:sz w:val="24"/>
        </w:rPr>
        <w:t>（1）供应商必须遵守采购合同并执行合同中的各项规定，保证采购合同的正常履行。</w:t>
      </w:r>
    </w:p>
    <w:p>
      <w:pPr>
        <w:spacing w:line="360" w:lineRule="auto"/>
        <w:ind w:firstLine="480" w:firstLineChars="200"/>
        <w:rPr>
          <w:rStyle w:val="11"/>
          <w:rFonts w:ascii="宋体" w:hAnsi="宋体" w:cs="宋体"/>
          <w:sz w:val="24"/>
        </w:rPr>
      </w:pPr>
      <w:r>
        <w:rPr>
          <w:rStyle w:val="11"/>
          <w:rFonts w:hint="eastAsia" w:ascii="宋体" w:hAnsi="宋体" w:cs="宋体"/>
          <w:sz w:val="24"/>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spacing w:line="360" w:lineRule="auto"/>
        <w:ind w:firstLine="480" w:firstLineChars="200"/>
        <w:rPr>
          <w:rStyle w:val="11"/>
          <w:rFonts w:ascii="宋体" w:hAnsi="宋体" w:cs="宋体"/>
          <w:sz w:val="24"/>
        </w:rPr>
      </w:pPr>
      <w:r>
        <w:rPr>
          <w:rStyle w:val="11"/>
          <w:rFonts w:hint="eastAsia" w:ascii="宋体" w:hAnsi="宋体" w:cs="宋体"/>
          <w:sz w:val="24"/>
        </w:rPr>
        <w:t>（3）其他未尽事宜以合同约定为准。</w:t>
      </w:r>
    </w:p>
    <w:p>
      <w:pPr>
        <w:spacing w:line="360" w:lineRule="auto"/>
        <w:ind w:firstLine="480" w:firstLineChars="200"/>
        <w:rPr>
          <w:rStyle w:val="11"/>
          <w:rFonts w:ascii="宋体" w:hAnsi="宋体" w:cs="宋体"/>
          <w:sz w:val="24"/>
        </w:rPr>
      </w:pPr>
      <w:r>
        <w:rPr>
          <w:rStyle w:val="11"/>
          <w:rFonts w:hint="eastAsia" w:ascii="宋体" w:hAnsi="宋体" w:cs="宋体"/>
          <w:sz w:val="24"/>
        </w:rPr>
        <w:t>5.2解决争议的方法：</w:t>
      </w:r>
    </w:p>
    <w:p>
      <w:pPr>
        <w:spacing w:line="360" w:lineRule="auto"/>
        <w:ind w:firstLine="480" w:firstLineChars="200"/>
      </w:pPr>
      <w:r>
        <w:rPr>
          <w:rStyle w:val="11"/>
          <w:rFonts w:hint="eastAsia" w:ascii="宋体" w:hAnsi="宋体" w:cs="宋体"/>
          <w:sz w:val="24"/>
        </w:rPr>
        <w:t>（1）合同履行期间,若双方发生争议，可协商或由有关部门调解解决，协商或调解不成的，向采购人所在地人民法院起诉。</w:t>
      </w:r>
    </w:p>
    <w:p>
      <w:pPr>
        <w:spacing w:line="360" w:lineRule="auto"/>
        <w:ind w:firstLine="480" w:firstLineChars="200"/>
        <w:rPr>
          <w:sz w:val="24"/>
          <w:szCs w:val="24"/>
          <w:lang w:val="en-US"/>
        </w:rPr>
      </w:pPr>
    </w:p>
    <w:p>
      <w:pPr>
        <w:pStyle w:val="5"/>
        <w:spacing w:before="9"/>
        <w:ind w:firstLine="482"/>
        <w:rPr>
          <w:b/>
          <w:bCs/>
          <w:color w:val="000000"/>
        </w:rPr>
      </w:pPr>
      <w:r>
        <w:rPr>
          <w:rFonts w:hint="eastAsia"/>
          <w:b/>
          <w:bCs/>
          <w:color w:val="000000"/>
        </w:rPr>
        <w:t>★</w:t>
      </w:r>
      <w:r>
        <w:rPr>
          <w:rFonts w:hint="eastAsia"/>
          <w:b/>
        </w:rPr>
        <w:t>以上技术、商务要求为本次单一来源采购活动</w:t>
      </w:r>
      <w:r>
        <w:rPr>
          <w:rFonts w:hint="eastAsia"/>
          <w:b/>
          <w:lang w:eastAsia="zh-CN"/>
        </w:rPr>
        <w:t>，</w:t>
      </w:r>
      <w:r>
        <w:rPr>
          <w:rFonts w:hint="eastAsia"/>
          <w:b/>
        </w:rPr>
        <w:t>体现满足采购需求、质量和服务相等的采购项目实质性要求</w:t>
      </w:r>
      <w:r>
        <w:rPr>
          <w:rFonts w:hint="eastAsia"/>
          <w:b/>
          <w:bCs/>
          <w:color w:val="auto"/>
          <w:lang w:eastAsia="zh-CN"/>
        </w:rPr>
        <w:t>，</w:t>
      </w:r>
      <w:r>
        <w:rPr>
          <w:rFonts w:hint="eastAsia"/>
          <w:b/>
          <w:bCs/>
          <w:color w:val="auto"/>
          <w:lang w:val="en-US" w:eastAsia="zh-CN"/>
        </w:rPr>
        <w:t>供应商必须逐一响应，</w:t>
      </w:r>
      <w:r>
        <w:rPr>
          <w:rFonts w:hint="eastAsia"/>
          <w:b/>
          <w:bCs/>
          <w:color w:val="000000"/>
        </w:rPr>
        <w:t>不允许有负偏离。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9AE837"/>
    <w:multiLevelType w:val="singleLevel"/>
    <w:tmpl w:val="719AE83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MjAxYzFmZDY0YzBiNGQ2ZDFhYzc5Mjc5YTkxY2EifQ=="/>
  </w:docVars>
  <w:rsids>
    <w:rsidRoot w:val="7A0D3ABD"/>
    <w:rsid w:val="6AD25F24"/>
    <w:rsid w:val="7A0D3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475" w:right="1487"/>
      <w:jc w:val="center"/>
      <w:outlineLvl w:val="0"/>
    </w:pPr>
    <w:rPr>
      <w:rFonts w:ascii="黑体" w:hAnsi="黑体" w:eastAsia="黑体" w:cs="黑体"/>
      <w:b/>
      <w:bCs/>
      <w:sz w:val="36"/>
      <w:szCs w:val="36"/>
    </w:rPr>
  </w:style>
  <w:style w:type="paragraph" w:styleId="4">
    <w:name w:val="heading 2"/>
    <w:basedOn w:val="1"/>
    <w:next w:val="1"/>
    <w:qFormat/>
    <w:uiPriority w:val="1"/>
    <w:pPr>
      <w:spacing w:before="212"/>
      <w:ind w:left="216" w:right="233"/>
      <w:jc w:val="center"/>
      <w:outlineLvl w:val="1"/>
    </w:pPr>
    <w:rPr>
      <w:b/>
      <w:bCs/>
      <w:sz w:val="30"/>
      <w:szCs w:val="30"/>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qFormat/>
    <w:uiPriority w:val="1"/>
    <w:rPr>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Index8"/>
    <w:basedOn w:val="1"/>
    <w:next w:val="1"/>
    <w:autoRedefine/>
    <w:qFormat/>
    <w:uiPriority w:val="0"/>
    <w:pPr>
      <w:ind w:left="2940"/>
      <w:textAlignment w:val="baseline"/>
    </w:pPr>
    <w:rPr>
      <w:rFonts w:eastAsia="等线"/>
    </w:rPr>
  </w:style>
  <w:style w:type="paragraph" w:customStyle="1" w:styleId="10">
    <w:name w:val="正文（绿盟科技）"/>
    <w:autoRedefine/>
    <w:qFormat/>
    <w:uiPriority w:val="0"/>
    <w:pPr>
      <w:spacing w:line="300" w:lineRule="auto"/>
    </w:pPr>
    <w:rPr>
      <w:rFonts w:ascii="Arial" w:hAnsi="Arial" w:eastAsia="宋体" w:cs="黑体"/>
      <w:sz w:val="21"/>
      <w:szCs w:val="21"/>
      <w:lang w:val="en-US" w:eastAsia="zh-CN" w:bidi="ar-SA"/>
    </w:rPr>
  </w:style>
  <w:style w:type="character" w:customStyle="1" w:styleId="11">
    <w:name w:val="NormalCharacter"/>
    <w:autoRedefine/>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2024-01-09T01:08:00Z</dcterms:created>
  <dc:creator>hxkj</dc:creator>
  <cp:lastModifiedBy>hxkj</cp:lastModifiedBy>
  <dcterms:modified xsi:type="dcterms:W3CDTF">2024-01-09T01:16:48Z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4808AD2A841042ADAE29DEF747506F54_11</vt:lpwstr>
  </property>
</Properties>
</file>