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65B7">
      <w:pPr>
        <w:spacing w:line="480" w:lineRule="exact"/>
        <w:ind w:right="640" w:firstLine="340" w:firstLineChars="100"/>
        <w:rPr>
          <w:rFonts w:hint="eastAsia" w:ascii="黑体" w:eastAsia="黑体"/>
          <w:b/>
          <w:bCs/>
          <w:sz w:val="32"/>
          <w:szCs w:val="20"/>
        </w:rPr>
      </w:pPr>
      <w:r>
        <w:rPr>
          <w:rFonts w:hint="eastAsia" w:ascii="黑体" w:eastAsia="黑体"/>
          <w:sz w:val="32"/>
          <w:szCs w:val="20"/>
        </w:rPr>
        <w:t xml:space="preserve">  </w:t>
      </w:r>
      <w:r>
        <w:rPr>
          <w:rFonts w:hint="eastAsia" w:ascii="黑体" w:eastAsia="黑体"/>
          <w:b/>
          <w:bCs/>
          <w:sz w:val="32"/>
          <w:szCs w:val="20"/>
        </w:rPr>
        <w:t xml:space="preserve">                                      </w:t>
      </w:r>
    </w:p>
    <w:p w14:paraId="47B41788">
      <w:pPr>
        <w:spacing w:line="620" w:lineRule="exact"/>
        <w:ind w:firstLine="763"/>
        <w:jc w:val="center"/>
        <w:rPr>
          <w:rFonts w:hint="eastAsia" w:ascii="黑体" w:eastAsia="黑体"/>
          <w:b/>
          <w:sz w:val="36"/>
          <w:szCs w:val="20"/>
        </w:rPr>
      </w:pPr>
      <w:r>
        <w:rPr>
          <w:rFonts w:hint="eastAsia" w:ascii="黑体" w:eastAsia="黑体"/>
          <w:b/>
          <w:sz w:val="36"/>
          <w:szCs w:val="20"/>
        </w:rPr>
        <w:t>容灾机房（信息科机房）</w:t>
      </w:r>
      <w:bookmarkStart w:id="214" w:name="_GoBack"/>
      <w:bookmarkEnd w:id="214"/>
    </w:p>
    <w:p w14:paraId="43431464">
      <w:pPr>
        <w:spacing w:line="500" w:lineRule="exact"/>
        <w:ind w:firstLine="763"/>
        <w:jc w:val="center"/>
        <w:rPr>
          <w:rFonts w:hint="eastAsia" w:ascii="黑体" w:eastAsia="黑体"/>
          <w:b/>
          <w:sz w:val="36"/>
          <w:szCs w:val="20"/>
        </w:rPr>
      </w:pPr>
    </w:p>
    <w:sdt>
      <w:sdtPr>
        <w:rPr>
          <w:rFonts w:eastAsia="宋体"/>
          <w:b/>
          <w:bCs/>
          <w:sz w:val="30"/>
          <w:szCs w:val="30"/>
        </w:rPr>
        <w:id w:val="147469458"/>
        <w15:color w:val="DBDBDB"/>
        <w:docPartObj>
          <w:docPartGallery w:val="Table of Contents"/>
          <w:docPartUnique/>
        </w:docPartObj>
      </w:sdtPr>
      <w:sdtEndPr>
        <w:rPr>
          <w:rFonts w:eastAsia="宋体"/>
          <w:b/>
          <w:bCs/>
          <w:sz w:val="30"/>
          <w:szCs w:val="30"/>
        </w:rPr>
      </w:sdtEndPr>
      <w:sdtContent>
        <w:p w14:paraId="4861C8DB">
          <w:pPr>
            <w:spacing w:line="240" w:lineRule="auto"/>
            <w:ind w:firstLine="0" w:firstLineChars="0"/>
            <w:jc w:val="center"/>
            <w:rPr>
              <w:rFonts w:hint="eastAsia"/>
              <w:b/>
              <w:bCs/>
              <w:sz w:val="30"/>
              <w:szCs w:val="30"/>
            </w:rPr>
          </w:pPr>
          <w:r>
            <w:rPr>
              <w:rFonts w:eastAsia="宋体"/>
              <w:b/>
              <w:bCs/>
              <w:sz w:val="30"/>
              <w:szCs w:val="30"/>
            </w:rPr>
            <w:t>目</w:t>
          </w:r>
          <w:r>
            <w:rPr>
              <w:rFonts w:hint="eastAsia"/>
              <w:b/>
              <w:bCs/>
              <w:sz w:val="30"/>
              <w:szCs w:val="30"/>
            </w:rPr>
            <w:t xml:space="preserve">    </w:t>
          </w:r>
          <w:r>
            <w:rPr>
              <w:rFonts w:eastAsia="宋体"/>
              <w:b/>
              <w:bCs/>
              <w:sz w:val="30"/>
              <w:szCs w:val="30"/>
            </w:rPr>
            <w:t>录</w:t>
          </w:r>
        </w:p>
        <w:p w14:paraId="4BA6446C">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TOC \o "1-2" \h \u </w:instrText>
          </w:r>
          <w:r>
            <w:fldChar w:fldCharType="separate"/>
          </w:r>
          <w:r>
            <w:fldChar w:fldCharType="begin"/>
          </w:r>
          <w:r>
            <w:instrText xml:space="preserve"> HYPERLINK \l "_Toc176101051" </w:instrText>
          </w:r>
          <w:r>
            <w:fldChar w:fldCharType="separate"/>
          </w:r>
          <w:r>
            <w:rPr>
              <w:rStyle w:val="23"/>
              <w:rFonts w:hint="eastAsia"/>
            </w:rPr>
            <w:t>1.</w:t>
          </w:r>
          <w:r>
            <w:rPr>
              <w:rFonts w:hint="eastAsia" w:asciiTheme="minorHAnsi" w:hAnsiTheme="minorHAnsi" w:eastAsiaTheme="minorEastAsia" w:cstheme="minorBidi"/>
              <w:spacing w:val="0"/>
              <w:sz w:val="21"/>
              <w:szCs w:val="22"/>
              <w14:ligatures w14:val="standardContextual"/>
            </w:rPr>
            <w:tab/>
          </w:r>
          <w:r>
            <w:rPr>
              <w:rStyle w:val="23"/>
              <w:rFonts w:hint="eastAsia"/>
            </w:rPr>
            <w:t>项目简介</w:t>
          </w:r>
          <w:r>
            <w:rPr>
              <w:rFonts w:hint="eastAsia"/>
            </w:rPr>
            <w:tab/>
          </w:r>
          <w:r>
            <w:rPr>
              <w:rFonts w:hint="eastAsia"/>
            </w:rPr>
            <w:fldChar w:fldCharType="begin"/>
          </w:r>
          <w:r>
            <w:rPr>
              <w:rFonts w:hint="eastAsia"/>
            </w:rPr>
            <w:instrText xml:space="preserve"> </w:instrText>
          </w:r>
          <w:r>
            <w:instrText xml:space="preserve">PAGEREF _Toc176101051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7A9E03E8">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"_Toc176101052" </w:instrText>
          </w:r>
          <w:r>
            <w:fldChar w:fldCharType="separate"/>
          </w:r>
          <w:r>
            <w:rPr>
              <w:rStyle w:val="23"/>
              <w:rFonts w:hint="eastAsia"/>
            </w:rPr>
            <w:t>1.1.</w:t>
          </w:r>
          <w:r>
            <w:rPr>
              <w:rFonts w:hint="eastAsia" w:asciiTheme="minorHAnsi" w:hAnsiTheme="minorHAnsi" w:eastAsiaTheme="minorEastAsia" w:cstheme="minorBidi"/>
              <w:spacing w:val="0"/>
              <w:sz w:val="21"/>
              <w:szCs w:val="22"/>
              <w14:ligatures w14:val="standardContextual"/>
            </w:rPr>
            <w:tab/>
          </w:r>
          <w:r>
            <w:rPr>
              <w:rStyle w:val="23"/>
              <w:rFonts w:hint="eastAsia"/>
            </w:rPr>
            <w:t>项目名称</w:t>
          </w:r>
          <w:r>
            <w:rPr>
              <w:rFonts w:hint="eastAsia"/>
            </w:rPr>
            <w:tab/>
          </w:r>
          <w:r>
            <w:rPr>
              <w:rFonts w:hint="eastAsia"/>
            </w:rPr>
            <w:fldChar w:fldCharType="begin"/>
          </w:r>
          <w:r>
            <w:rPr>
              <w:rFonts w:hint="eastAsia"/>
            </w:rPr>
            <w:instrText xml:space="preserve"> </w:instrText>
          </w:r>
          <w:r>
            <w:instrText xml:space="preserve">PAGEREF _Toc176101052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0E9B1BC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"_Toc176101053" </w:instrText>
          </w:r>
          <w:r>
            <w:fldChar w:fldCharType="separate"/>
          </w:r>
          <w:r>
            <w:rPr>
              <w:rStyle w:val="23"/>
              <w:rFonts w:hint="eastAsia"/>
            </w:rPr>
            <w:t>1.2.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w:t>
          </w:r>
          <w:r>
            <w:rPr>
              <w:rFonts w:hint="eastAsia"/>
            </w:rPr>
            <w:tab/>
          </w:r>
          <w:r>
            <w:rPr>
              <w:rFonts w:hint="eastAsia"/>
            </w:rPr>
            <w:fldChar w:fldCharType="begin"/>
          </w:r>
          <w:r>
            <w:rPr>
              <w:rFonts w:hint="eastAsia"/>
            </w:rPr>
            <w:instrText xml:space="preserve"> </w:instrText>
          </w:r>
          <w:r>
            <w:instrText xml:space="preserve">PAGEREF _Toc176101053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61EDA1F4">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"_Toc176101054" </w:instrText>
          </w:r>
          <w:r>
            <w:fldChar w:fldCharType="separate"/>
          </w:r>
          <w:r>
            <w:rPr>
              <w:rStyle w:val="23"/>
              <w:rFonts w:hint="eastAsia"/>
            </w:rPr>
            <w:t>1.3.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项目建议书编制依据</w:t>
          </w:r>
          <w:r>
            <w:rPr>
              <w:rFonts w:hint="eastAsia"/>
            </w:rPr>
            <w:tab/>
          </w:r>
          <w:r>
            <w:rPr>
              <w:rFonts w:hint="eastAsia"/>
            </w:rPr>
            <w:fldChar w:fldCharType="begin"/>
          </w:r>
          <w:r>
            <w:rPr>
              <w:rFonts w:hint="eastAsia"/>
            </w:rPr>
            <w:instrText xml:space="preserve"> </w:instrText>
          </w:r>
          <w:r>
            <w:instrText xml:space="preserve">PAGEREF _Toc176101054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0CB511D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"_Toc176101055" </w:instrText>
          </w:r>
          <w:r>
            <w:fldChar w:fldCharType="separate"/>
          </w:r>
          <w:r>
            <w:rPr>
              <w:rStyle w:val="23"/>
              <w:rFonts w:hint="eastAsia"/>
            </w:rPr>
            <w:t>1.4.</w:t>
          </w:r>
          <w:r>
            <w:rPr>
              <w:rFonts w:hint="eastAsia" w:asciiTheme="minorHAnsi" w:hAnsiTheme="minorHAnsi" w:eastAsiaTheme="minorEastAsia" w:cstheme="minorBidi"/>
              <w:spacing w:val="0"/>
              <w:sz w:val="21"/>
              <w:szCs w:val="22"/>
              <w14:ligatures w14:val="standardContextual"/>
            </w:rPr>
            <w:tab/>
          </w:r>
          <w:r>
            <w:rPr>
              <w:rStyle w:val="23"/>
              <w:rFonts w:hint="eastAsia"/>
            </w:rPr>
            <w:t>项目概况</w:t>
          </w:r>
          <w:r>
            <w:rPr>
              <w:rFonts w:hint="eastAsia"/>
            </w:rPr>
            <w:tab/>
          </w:r>
          <w:r>
            <w:rPr>
              <w:rFonts w:hint="eastAsia"/>
            </w:rPr>
            <w:fldChar w:fldCharType="begin"/>
          </w:r>
          <w:r>
            <w:rPr>
              <w:rFonts w:hint="eastAsia"/>
            </w:rPr>
            <w:instrText xml:space="preserve"> </w:instrText>
          </w:r>
          <w:r>
            <w:instrText xml:space="preserve">PAGEREF _Toc176101055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222570A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"_Toc176101056" </w:instrText>
          </w:r>
          <w:r>
            <w:fldChar w:fldCharType="separate"/>
          </w:r>
          <w:r>
            <w:rPr>
              <w:rStyle w:val="23"/>
              <w:rFonts w:hint="eastAsia"/>
            </w:rPr>
            <w:t>1.5.</w:t>
          </w:r>
          <w:r>
            <w:rPr>
              <w:rFonts w:hint="eastAsia" w:asciiTheme="minorHAnsi" w:hAnsiTheme="minorHAnsi" w:eastAsiaTheme="minorEastAsia" w:cstheme="minorBidi"/>
              <w:spacing w:val="0"/>
              <w:sz w:val="21"/>
              <w:szCs w:val="22"/>
              <w14:ligatures w14:val="standardContextual"/>
            </w:rPr>
            <w:tab/>
          </w:r>
          <w:r>
            <w:rPr>
              <w:rStyle w:val="23"/>
              <w:rFonts w:hint="eastAsia"/>
            </w:rPr>
            <w:t>主要结论和建议</w:t>
          </w:r>
          <w:r>
            <w:rPr>
              <w:rFonts w:hint="eastAsia"/>
            </w:rPr>
            <w:tab/>
          </w:r>
          <w:r>
            <w:rPr>
              <w:rFonts w:hint="eastAsia"/>
            </w:rPr>
            <w:fldChar w:fldCharType="begin"/>
          </w:r>
          <w:r>
            <w:rPr>
              <w:rFonts w:hint="eastAsia"/>
            </w:rPr>
            <w:instrText xml:space="preserve"> </w:instrText>
          </w:r>
          <w:r>
            <w:instrText xml:space="preserve">PAGEREF _Toc176101056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137BF7F4">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"_Toc176101057" </w:instrText>
          </w:r>
          <w:r>
            <w:fldChar w:fldCharType="separate"/>
          </w:r>
          <w:r>
            <w:rPr>
              <w:rStyle w:val="23"/>
              <w:rFonts w:hint="eastAsia"/>
            </w:rPr>
            <w:t>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项目建设单位概况</w:t>
          </w:r>
          <w:r>
            <w:rPr>
              <w:rFonts w:hint="eastAsia"/>
            </w:rPr>
            <w:tab/>
          </w:r>
          <w:r>
            <w:rPr>
              <w:rFonts w:hint="eastAsia"/>
            </w:rPr>
            <w:fldChar w:fldCharType="begin"/>
          </w:r>
          <w:r>
            <w:rPr>
              <w:rFonts w:hint="eastAsia"/>
            </w:rPr>
            <w:instrText xml:space="preserve"> </w:instrText>
          </w:r>
          <w:r>
            <w:instrText xml:space="preserve">PAGEREF _Toc176101057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1022F5B5">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"_Toc176101058" </w:instrText>
          </w:r>
          <w:r>
            <w:fldChar w:fldCharType="separate"/>
          </w:r>
          <w:r>
            <w:rPr>
              <w:rStyle w:val="23"/>
              <w:rFonts w:hint="eastAsia"/>
            </w:rPr>
            <w:t>2.1.</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项目建设单位与职能</w:t>
          </w:r>
          <w:r>
            <w:rPr>
              <w:rFonts w:hint="eastAsia"/>
            </w:rPr>
            <w:tab/>
          </w:r>
          <w:r>
            <w:rPr>
              <w:rFonts w:hint="eastAsia"/>
            </w:rPr>
            <w:fldChar w:fldCharType="begin"/>
          </w:r>
          <w:r>
            <w:rPr>
              <w:rFonts w:hint="eastAsia"/>
            </w:rPr>
            <w:instrText xml:space="preserve"> </w:instrText>
          </w:r>
          <w:r>
            <w:instrText xml:space="preserve">PAGEREF _Toc176101058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56569871">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"_Toc176101059" </w:instrText>
          </w:r>
          <w:r>
            <w:fldChar w:fldCharType="separate"/>
          </w:r>
          <w:r>
            <w:rPr>
              <w:rStyle w:val="23"/>
              <w:rFonts w:hint="eastAsia"/>
            </w:rPr>
            <w:t>2.2.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项目实施机构与职责</w:t>
          </w:r>
          <w:r>
            <w:rPr>
              <w:rFonts w:hint="eastAsia"/>
            </w:rPr>
            <w:tab/>
          </w:r>
          <w:r>
            <w:rPr>
              <w:rFonts w:hint="eastAsia"/>
            </w:rPr>
            <w:fldChar w:fldCharType="begin"/>
          </w:r>
          <w:r>
            <w:rPr>
              <w:rFonts w:hint="eastAsia"/>
            </w:rPr>
            <w:instrText xml:space="preserve"> </w:instrText>
          </w:r>
          <w:r>
            <w:instrText xml:space="preserve">PAGEREF _Toc176101059 \h</w:instrText>
          </w:r>
          <w:r>
            <w:rPr>
              <w:rFonts w:hint="eastAsia"/>
            </w:rPr>
            <w:instrText xml:space="preserve"> </w:instrText>
          </w:r>
          <w:r>
            <w:rPr>
              <w:rFonts w:hint="eastAsia"/>
            </w:rPr>
            <w:fldChar w:fldCharType="separate"/>
          </w:r>
          <w:r>
            <w:rPr>
              <w:rFonts w:hint="eastAsia"/>
            </w:rPr>
            <w:t>3</w:t>
          </w:r>
          <w:r>
            <w:rPr>
              <w:rFonts w:hint="eastAsia"/>
            </w:rPr>
            <w:fldChar w:fldCharType="end"/>
          </w:r>
          <w:r>
            <w:rPr>
              <w:rFonts w:hint="eastAsia"/>
            </w:rPr>
            <w:fldChar w:fldCharType="end"/>
          </w:r>
        </w:p>
        <w:p w14:paraId="7A57CAC6">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"_Toc176101060" </w:instrText>
          </w:r>
          <w:r>
            <w:fldChar w:fldCharType="separate"/>
          </w:r>
          <w:r>
            <w:rPr>
              <w:rStyle w:val="23"/>
              <w:rFonts w:hint="eastAsia"/>
            </w:rPr>
            <w:t>3.</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项目建设的必要性</w:t>
          </w:r>
          <w:r>
            <w:rPr>
              <w:rFonts w:hint="eastAsia"/>
            </w:rPr>
            <w:tab/>
          </w:r>
          <w:r>
            <w:rPr>
              <w:rFonts w:hint="eastAsia"/>
            </w:rPr>
            <w:fldChar w:fldCharType="begin"/>
          </w:r>
          <w:r>
            <w:rPr>
              <w:rFonts w:hint="eastAsia"/>
            </w:rPr>
            <w:instrText xml:space="preserve"> </w:instrText>
          </w:r>
          <w:r>
            <w:instrText xml:space="preserve">PAGEREF _Toc176101060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7AC6EAD8">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"_Toc176101061" </w:instrText>
          </w:r>
          <w:r>
            <w:fldChar w:fldCharType="separate"/>
          </w:r>
          <w:r>
            <w:rPr>
              <w:rStyle w:val="23"/>
              <w:rFonts w:hint="eastAsia"/>
            </w:rPr>
            <w:t>3.1.</w:t>
          </w:r>
          <w:r>
            <w:rPr>
              <w:rFonts w:hint="eastAsia" w:asciiTheme="minorHAnsi" w:hAnsiTheme="minorHAnsi" w:eastAsiaTheme="minorEastAsia" w:cstheme="minorBidi"/>
              <w:spacing w:val="0"/>
              <w:sz w:val="21"/>
              <w:szCs w:val="22"/>
              <w14:ligatures w14:val="standardContextual"/>
            </w:rPr>
            <w:tab/>
          </w:r>
          <w:r>
            <w:rPr>
              <w:rStyle w:val="23"/>
              <w:rFonts w:hint="eastAsia"/>
            </w:rPr>
            <w:t>项目背景和依据</w:t>
          </w:r>
          <w:r>
            <w:rPr>
              <w:rFonts w:hint="eastAsia"/>
            </w:rPr>
            <w:tab/>
          </w:r>
          <w:r>
            <w:rPr>
              <w:rFonts w:hint="eastAsia"/>
            </w:rPr>
            <w:fldChar w:fldCharType="begin"/>
          </w:r>
          <w:r>
            <w:rPr>
              <w:rFonts w:hint="eastAsia"/>
            </w:rPr>
            <w:instrText xml:space="preserve"> </w:instrText>
          </w:r>
          <w:r>
            <w:instrText xml:space="preserve">PAGEREF _Toc176101061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551D015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"_Toc176101062" </w:instrText>
          </w:r>
          <w:r>
            <w:fldChar w:fldCharType="separate"/>
          </w:r>
          <w:r>
            <w:rPr>
              <w:rStyle w:val="23"/>
              <w:rFonts w:hint="eastAsia"/>
            </w:rPr>
            <w:t>3.2.</w:t>
          </w:r>
          <w:r>
            <w:rPr>
              <w:rFonts w:hint="eastAsia" w:asciiTheme="minorHAnsi" w:hAnsiTheme="minorHAnsi" w:eastAsiaTheme="minorEastAsia" w:cstheme="minorBidi"/>
              <w:spacing w:val="0"/>
              <w:sz w:val="21"/>
              <w:szCs w:val="22"/>
              <w14:ligatures w14:val="standardContextual"/>
            </w:rPr>
            <w:tab/>
          </w:r>
          <w:r>
            <w:rPr>
              <w:rStyle w:val="23"/>
              <w:rFonts w:hint="eastAsia"/>
            </w:rPr>
            <w:t>容灾机房（信息科机房）建设标准</w:t>
          </w:r>
          <w:r>
            <w:rPr>
              <w:rFonts w:hint="eastAsia"/>
            </w:rPr>
            <w:tab/>
          </w:r>
          <w:r>
            <w:rPr>
              <w:rFonts w:hint="eastAsia"/>
            </w:rPr>
            <w:fldChar w:fldCharType="begin"/>
          </w:r>
          <w:r>
            <w:rPr>
              <w:rFonts w:hint="eastAsia"/>
            </w:rPr>
            <w:instrText xml:space="preserve"> </w:instrText>
          </w:r>
          <w:r>
            <w:instrText xml:space="preserve">PAGEREF _Toc176101062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2BE1E783">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"_Toc176101063" </w:instrText>
          </w:r>
          <w:r>
            <w:fldChar w:fldCharType="separate"/>
          </w:r>
          <w:r>
            <w:rPr>
              <w:rStyle w:val="23"/>
              <w:rFonts w:hint="eastAsia"/>
            </w:rPr>
            <w:t>3.3.</w:t>
          </w:r>
          <w:r>
            <w:rPr>
              <w:rFonts w:hint="eastAsia" w:asciiTheme="minorHAnsi" w:hAnsiTheme="minorHAnsi" w:eastAsiaTheme="minorEastAsia" w:cstheme="minorBidi"/>
              <w:spacing w:val="0"/>
              <w:sz w:val="21"/>
              <w:szCs w:val="22"/>
              <w14:ligatures w14:val="standardContextual"/>
            </w:rPr>
            <w:tab/>
          </w:r>
          <w:r>
            <w:rPr>
              <w:rStyle w:val="23"/>
              <w:rFonts w:hint="eastAsia"/>
            </w:rPr>
            <w:t>现有容灾机房（信息科机房）信息化应用状况</w:t>
          </w:r>
          <w:r>
            <w:rPr>
              <w:rFonts w:hint="eastAsia"/>
            </w:rPr>
            <w:tab/>
          </w:r>
          <w:r>
            <w:rPr>
              <w:rFonts w:hint="eastAsia"/>
            </w:rPr>
            <w:fldChar w:fldCharType="begin"/>
          </w:r>
          <w:r>
            <w:rPr>
              <w:rFonts w:hint="eastAsia"/>
            </w:rPr>
            <w:instrText xml:space="preserve"> </w:instrText>
          </w:r>
          <w:r>
            <w:instrText xml:space="preserve">PAGEREF _Toc176101063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745D873D">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"_Toc176101064" </w:instrText>
          </w:r>
          <w:r>
            <w:fldChar w:fldCharType="separate"/>
          </w:r>
          <w:r>
            <w:rPr>
              <w:rStyle w:val="23"/>
              <w:rFonts w:hint="eastAsia"/>
            </w:rPr>
            <w:t>3.4.</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项目建设的意义和必要性</w:t>
          </w:r>
          <w:r>
            <w:rPr>
              <w:rFonts w:hint="eastAsia"/>
            </w:rPr>
            <w:tab/>
          </w:r>
          <w:r>
            <w:rPr>
              <w:rFonts w:hint="eastAsia"/>
            </w:rPr>
            <w:fldChar w:fldCharType="begin"/>
          </w:r>
          <w:r>
            <w:rPr>
              <w:rFonts w:hint="eastAsia"/>
            </w:rPr>
            <w:instrText xml:space="preserve"> </w:instrText>
          </w:r>
          <w:r>
            <w:instrText xml:space="preserve">PAGEREF _Toc176101064 \h</w:instrText>
          </w:r>
          <w:r>
            <w:rPr>
              <w:rFonts w:hint="eastAsia"/>
            </w:rPr>
            <w:instrText xml:space="preserve"> </w:instrText>
          </w:r>
          <w:r>
            <w:rPr>
              <w:rFonts w:hint="eastAsia"/>
            </w:rPr>
            <w:fldChar w:fldCharType="separate"/>
          </w:r>
          <w:r>
            <w:rPr>
              <w:rFonts w:hint="eastAsia"/>
            </w:rPr>
            <w:t>7</w:t>
          </w:r>
          <w:r>
            <w:rPr>
              <w:rFonts w:hint="eastAsia"/>
            </w:rPr>
            <w:fldChar w:fldCharType="end"/>
          </w:r>
          <w:r>
            <w:rPr>
              <w:rFonts w:hint="eastAsia"/>
            </w:rPr>
            <w:fldChar w:fldCharType="end"/>
          </w:r>
        </w:p>
        <w:p w14:paraId="01E92526">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"_Toc176101065" </w:instrText>
          </w:r>
          <w:r>
            <w:fldChar w:fldCharType="separate"/>
          </w:r>
          <w:r>
            <w:rPr>
              <w:rStyle w:val="23"/>
              <w:rFonts w:hint="eastAsia"/>
            </w:rPr>
            <w:t>4.</w:t>
          </w:r>
          <w:r>
            <w:rPr>
              <w:rFonts w:hint="eastAsia" w:asciiTheme="minorHAnsi" w:hAnsiTheme="minorHAnsi" w:eastAsiaTheme="minorEastAsia" w:cstheme="minorBidi"/>
              <w:spacing w:val="0"/>
              <w:sz w:val="21"/>
              <w:szCs w:val="22"/>
              <w14:ligatures w14:val="standardContextual"/>
            </w:rPr>
            <w:tab/>
          </w:r>
          <w:r>
            <w:rPr>
              <w:rStyle w:val="23"/>
              <w:rFonts w:hint="eastAsia"/>
            </w:rPr>
            <w:t>需求分析</w:t>
          </w:r>
          <w:r>
            <w:rPr>
              <w:rFonts w:hint="eastAsia"/>
            </w:rPr>
            <w:tab/>
          </w:r>
          <w:r>
            <w:rPr>
              <w:rFonts w:hint="eastAsia"/>
            </w:rPr>
            <w:fldChar w:fldCharType="begin"/>
          </w:r>
          <w:r>
            <w:rPr>
              <w:rFonts w:hint="eastAsia"/>
            </w:rPr>
            <w:instrText xml:space="preserve"> </w:instrText>
          </w:r>
          <w:r>
            <w:instrText xml:space="preserve">PAGEREF _Toc176101065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59460256">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"_Toc176101066" </w:instrText>
          </w:r>
          <w:r>
            <w:fldChar w:fldCharType="separate"/>
          </w:r>
          <w:r>
            <w:rPr>
              <w:rStyle w:val="23"/>
              <w:rFonts w:hint="eastAsia"/>
            </w:rPr>
            <w:t>4.1.</w:t>
          </w:r>
          <w:r>
            <w:rPr>
              <w:rFonts w:hint="eastAsia" w:asciiTheme="minorHAnsi" w:hAnsiTheme="minorHAnsi" w:eastAsiaTheme="minorEastAsia" w:cstheme="minorBidi"/>
              <w:spacing w:val="0"/>
              <w:sz w:val="21"/>
              <w:szCs w:val="22"/>
              <w14:ligatures w14:val="standardContextual"/>
            </w:rPr>
            <w:tab/>
          </w:r>
          <w:r>
            <w:rPr>
              <w:rStyle w:val="23"/>
              <w:rFonts w:hint="eastAsia"/>
            </w:rPr>
            <w:t>安全保密与自主可控</w:t>
          </w:r>
          <w:r>
            <w:rPr>
              <w:rFonts w:hint="eastAsia"/>
            </w:rPr>
            <w:tab/>
          </w:r>
          <w:r>
            <w:rPr>
              <w:rFonts w:hint="eastAsia"/>
            </w:rPr>
            <w:fldChar w:fldCharType="begin"/>
          </w:r>
          <w:r>
            <w:rPr>
              <w:rFonts w:hint="eastAsia"/>
            </w:rPr>
            <w:instrText xml:space="preserve"> </w:instrText>
          </w:r>
          <w:r>
            <w:instrText xml:space="preserve">PAGEREF _Toc176101066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608E64DA">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"_Toc176101067" </w:instrText>
          </w:r>
          <w:r>
            <w:fldChar w:fldCharType="separate"/>
          </w:r>
          <w:r>
            <w:rPr>
              <w:rStyle w:val="23"/>
              <w:rFonts w:hint="eastAsia"/>
            </w:rPr>
            <w:t>4.2.</w:t>
          </w:r>
          <w:r>
            <w:rPr>
              <w:rFonts w:hint="eastAsia" w:asciiTheme="minorHAnsi" w:hAnsiTheme="minorHAnsi" w:eastAsiaTheme="minorEastAsia" w:cstheme="minorBidi"/>
              <w:spacing w:val="0"/>
              <w:sz w:val="21"/>
              <w:szCs w:val="22"/>
              <w14:ligatures w14:val="standardContextual"/>
            </w:rPr>
            <w:tab/>
          </w:r>
          <w:r>
            <w:rPr>
              <w:rStyle w:val="23"/>
              <w:rFonts w:hint="eastAsia"/>
            </w:rPr>
            <w:t>系统需求分析</w:t>
          </w:r>
          <w:r>
            <w:rPr>
              <w:rFonts w:hint="eastAsia"/>
            </w:rPr>
            <w:tab/>
          </w:r>
          <w:r>
            <w:rPr>
              <w:rFonts w:hint="eastAsia"/>
            </w:rPr>
            <w:fldChar w:fldCharType="begin"/>
          </w:r>
          <w:r>
            <w:rPr>
              <w:rFonts w:hint="eastAsia"/>
            </w:rPr>
            <w:instrText xml:space="preserve"> </w:instrText>
          </w:r>
          <w:r>
            <w:instrText xml:space="preserve">PAGEREF _Toc176101067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2C457436">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"_Toc176101068" </w:instrText>
          </w:r>
          <w:r>
            <w:fldChar w:fldCharType="separate"/>
          </w:r>
          <w:r>
            <w:rPr>
              <w:rStyle w:val="23"/>
              <w:rFonts w:hint="eastAsia"/>
            </w:rPr>
            <w:t>5.</w:t>
          </w:r>
          <w:r>
            <w:rPr>
              <w:rFonts w:hint="eastAsia" w:asciiTheme="minorHAnsi" w:hAnsiTheme="minorHAnsi" w:eastAsiaTheme="minorEastAsia" w:cstheme="minorBidi"/>
              <w:spacing w:val="0"/>
              <w:sz w:val="21"/>
              <w:szCs w:val="22"/>
              <w14:ligatures w14:val="standardContextual"/>
            </w:rPr>
            <w:tab/>
          </w:r>
          <w:r>
            <w:rPr>
              <w:rStyle w:val="23"/>
              <w:rFonts w:hint="eastAsia"/>
            </w:rPr>
            <w:t>建设方案</w:t>
          </w:r>
          <w:r>
            <w:rPr>
              <w:rFonts w:hint="eastAsia"/>
            </w:rPr>
            <w:tab/>
          </w:r>
          <w:r>
            <w:rPr>
              <w:rFonts w:hint="eastAsia"/>
            </w:rPr>
            <w:fldChar w:fldCharType="begin"/>
          </w:r>
          <w:r>
            <w:rPr>
              <w:rFonts w:hint="eastAsia"/>
            </w:rPr>
            <w:instrText xml:space="preserve"> </w:instrText>
          </w:r>
          <w:r>
            <w:instrText xml:space="preserve">PAGEREF _Toc176101068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7CA6BB3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"_Toc176101069" </w:instrText>
          </w:r>
          <w:r>
            <w:fldChar w:fldCharType="separate"/>
          </w:r>
          <w:r>
            <w:rPr>
              <w:rStyle w:val="23"/>
              <w:rFonts w:hint="eastAsia"/>
            </w:rPr>
            <w:t>5.1.</w:t>
          </w:r>
          <w:r>
            <w:rPr>
              <w:rFonts w:hint="eastAsia" w:asciiTheme="minorHAnsi" w:hAnsiTheme="minorHAnsi" w:eastAsiaTheme="minorEastAsia" w:cstheme="minorBidi"/>
              <w:spacing w:val="0"/>
              <w:sz w:val="21"/>
              <w:szCs w:val="22"/>
              <w14:ligatures w14:val="standardContextual"/>
            </w:rPr>
            <w:tab/>
          </w:r>
          <w:r>
            <w:rPr>
              <w:rStyle w:val="23"/>
              <w:rFonts w:hint="eastAsia"/>
            </w:rPr>
            <w:t>建设原则和策略</w:t>
          </w:r>
          <w:r>
            <w:rPr>
              <w:rFonts w:hint="eastAsia"/>
            </w:rPr>
            <w:tab/>
          </w:r>
          <w:r>
            <w:rPr>
              <w:rFonts w:hint="eastAsia"/>
            </w:rPr>
            <w:fldChar w:fldCharType="begin"/>
          </w:r>
          <w:r>
            <w:rPr>
              <w:rFonts w:hint="eastAsia"/>
            </w:rPr>
            <w:instrText xml:space="preserve"> </w:instrText>
          </w:r>
          <w:r>
            <w:instrText xml:space="preserve">PAGEREF _Toc176101069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29051B57">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"_Toc176101070" </w:instrText>
          </w:r>
          <w:r>
            <w:fldChar w:fldCharType="separate"/>
          </w:r>
          <w:r>
            <w:rPr>
              <w:rStyle w:val="23"/>
              <w:rFonts w:hint="eastAsia"/>
            </w:rPr>
            <w:t>5.2.</w:t>
          </w:r>
          <w:r>
            <w:rPr>
              <w:rFonts w:hint="eastAsia" w:asciiTheme="minorHAnsi" w:hAnsiTheme="minorHAnsi" w:eastAsiaTheme="minorEastAsia" w:cstheme="minorBidi"/>
              <w:spacing w:val="0"/>
              <w:sz w:val="21"/>
              <w:szCs w:val="22"/>
              <w14:ligatures w14:val="standardContextual"/>
            </w:rPr>
            <w:tab/>
          </w:r>
          <w:r>
            <w:rPr>
              <w:rStyle w:val="23"/>
              <w:rFonts w:hint="eastAsia"/>
            </w:rPr>
            <w:t>项目建设目标</w:t>
          </w:r>
          <w:r>
            <w:rPr>
              <w:rFonts w:hint="eastAsia"/>
            </w:rPr>
            <w:tab/>
          </w:r>
          <w:r>
            <w:rPr>
              <w:rFonts w:hint="eastAsia"/>
            </w:rPr>
            <w:fldChar w:fldCharType="begin"/>
          </w:r>
          <w:r>
            <w:rPr>
              <w:rFonts w:hint="eastAsia"/>
            </w:rPr>
            <w:instrText xml:space="preserve"> </w:instrText>
          </w:r>
          <w:r>
            <w:instrText xml:space="preserve">PAGEREF _Toc176101070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21F0869D">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"_Toc176101071" </w:instrText>
          </w:r>
          <w:r>
            <w:fldChar w:fldCharType="separate"/>
          </w:r>
          <w:r>
            <w:rPr>
              <w:rStyle w:val="23"/>
              <w:rFonts w:hint="eastAsia"/>
            </w:rPr>
            <w:t>5.3.</w:t>
          </w:r>
          <w:r>
            <w:rPr>
              <w:rFonts w:hint="eastAsia" w:asciiTheme="minorHAnsi" w:hAnsiTheme="minorHAnsi" w:eastAsiaTheme="minorEastAsia" w:cstheme="minorBidi"/>
              <w:spacing w:val="0"/>
              <w:sz w:val="21"/>
              <w:szCs w:val="22"/>
              <w14:ligatures w14:val="standardContextual"/>
            </w:rPr>
            <w:tab/>
          </w:r>
          <w:r>
            <w:rPr>
              <w:rStyle w:val="23"/>
              <w:rFonts w:hint="eastAsia"/>
            </w:rPr>
            <w:t>国内外医院容灾机房技术对比</w:t>
          </w:r>
          <w:r>
            <w:rPr>
              <w:rFonts w:hint="eastAsia"/>
            </w:rPr>
            <w:tab/>
          </w:r>
          <w:r>
            <w:rPr>
              <w:rFonts w:hint="eastAsia"/>
            </w:rPr>
            <w:fldChar w:fldCharType="begin"/>
          </w:r>
          <w:r>
            <w:rPr>
              <w:rFonts w:hint="eastAsia"/>
            </w:rPr>
            <w:instrText xml:space="preserve"> </w:instrText>
          </w:r>
          <w:r>
            <w:instrText xml:space="preserve">PAGEREF _Toc176101071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16CBDFC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"_Toc176101072" </w:instrText>
          </w:r>
          <w:r>
            <w:fldChar w:fldCharType="separate"/>
          </w:r>
          <w:r>
            <w:rPr>
              <w:rStyle w:val="23"/>
              <w:rFonts w:hint="eastAsia"/>
            </w:rPr>
            <w:t>5.4.</w:t>
          </w:r>
          <w:r>
            <w:rPr>
              <w:rFonts w:hint="eastAsia" w:asciiTheme="minorHAnsi" w:hAnsiTheme="minorHAnsi" w:eastAsiaTheme="minorEastAsia" w:cstheme="minorBidi"/>
              <w:spacing w:val="0"/>
              <w:sz w:val="21"/>
              <w:szCs w:val="22"/>
              <w14:ligatures w14:val="standardContextual"/>
            </w:rPr>
            <w:tab/>
          </w:r>
          <w:r>
            <w:rPr>
              <w:rStyle w:val="23"/>
              <w:rFonts w:hint="eastAsia"/>
            </w:rPr>
            <w:t>技术方案</w:t>
          </w:r>
          <w:r>
            <w:rPr>
              <w:rFonts w:hint="eastAsia"/>
            </w:rPr>
            <w:tab/>
          </w:r>
          <w:r>
            <w:rPr>
              <w:rFonts w:hint="eastAsia"/>
            </w:rPr>
            <w:fldChar w:fldCharType="begin"/>
          </w:r>
          <w:r>
            <w:rPr>
              <w:rFonts w:hint="eastAsia"/>
            </w:rPr>
            <w:instrText xml:space="preserve"> </w:instrText>
          </w:r>
          <w:r>
            <w:instrText xml:space="preserve">PAGEREF _Toc176101072 \h</w:instrText>
          </w:r>
          <w:r>
            <w:rPr>
              <w:rFonts w:hint="eastAsia"/>
            </w:rPr>
            <w:instrText xml:space="preserve"> </w:instrText>
          </w:r>
          <w:r>
            <w:rPr>
              <w:rFonts w:hint="eastAsia"/>
            </w:rPr>
            <w:fldChar w:fldCharType="separate"/>
          </w:r>
          <w:r>
            <w:rPr>
              <w:rFonts w:hint="eastAsia"/>
            </w:rPr>
            <w:t>18</w:t>
          </w:r>
          <w:r>
            <w:rPr>
              <w:rFonts w:hint="eastAsia"/>
            </w:rPr>
            <w:fldChar w:fldCharType="end"/>
          </w:r>
          <w:r>
            <w:rPr>
              <w:rFonts w:hint="eastAsia"/>
            </w:rPr>
            <w:fldChar w:fldCharType="end"/>
          </w:r>
        </w:p>
        <w:p w14:paraId="7F515D15">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"_Toc176101073" </w:instrText>
          </w:r>
          <w:r>
            <w:fldChar w:fldCharType="separate"/>
          </w:r>
          <w:r>
            <w:rPr>
              <w:rStyle w:val="23"/>
              <w:rFonts w:hint="eastAsia"/>
            </w:rPr>
            <w:t>6.</w:t>
          </w:r>
          <w:r>
            <w:rPr>
              <w:rFonts w:hint="eastAsia" w:asciiTheme="minorHAnsi" w:hAnsiTheme="minorHAnsi" w:eastAsiaTheme="minorEastAsia" w:cstheme="minorBidi"/>
              <w:spacing w:val="0"/>
              <w:sz w:val="21"/>
              <w:szCs w:val="22"/>
              <w14:ligatures w14:val="standardContextual"/>
            </w:rPr>
            <w:tab/>
          </w:r>
          <w:r>
            <w:rPr>
              <w:rStyle w:val="23"/>
              <w:rFonts w:hint="eastAsia"/>
            </w:rPr>
            <w:t>环保、消防、职业安全、职业卫生和节能</w:t>
          </w:r>
          <w:r>
            <w:rPr>
              <w:rFonts w:hint="eastAsia"/>
            </w:rPr>
            <w:tab/>
          </w:r>
          <w:r>
            <w:rPr>
              <w:rFonts w:hint="eastAsia"/>
            </w:rPr>
            <w:fldChar w:fldCharType="begin"/>
          </w:r>
          <w:r>
            <w:rPr>
              <w:rFonts w:hint="eastAsia"/>
            </w:rPr>
            <w:instrText xml:space="preserve"> </w:instrText>
          </w:r>
          <w:r>
            <w:instrText xml:space="preserve">PAGEREF _Toc176101073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45D7EAED">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"_Toc176101074" </w:instrText>
          </w:r>
          <w:r>
            <w:fldChar w:fldCharType="separate"/>
          </w:r>
          <w:r>
            <w:rPr>
              <w:rStyle w:val="23"/>
              <w:rFonts w:hint="eastAsia"/>
            </w:rPr>
            <w:t>6.1.</w:t>
          </w:r>
          <w:r>
            <w:rPr>
              <w:rFonts w:hint="eastAsia" w:asciiTheme="minorHAnsi" w:hAnsiTheme="minorHAnsi" w:eastAsiaTheme="minorEastAsia" w:cstheme="minorBidi"/>
              <w:spacing w:val="0"/>
              <w:sz w:val="21"/>
              <w:szCs w:val="22"/>
              <w14:ligatures w14:val="standardContextual"/>
            </w:rPr>
            <w:tab/>
          </w:r>
          <w:r>
            <w:rPr>
              <w:rStyle w:val="23"/>
              <w:rFonts w:hint="eastAsia"/>
            </w:rPr>
            <w:t>环境影响和环保措施</w:t>
          </w:r>
          <w:r>
            <w:rPr>
              <w:rFonts w:hint="eastAsia"/>
            </w:rPr>
            <w:tab/>
          </w:r>
          <w:r>
            <w:rPr>
              <w:rFonts w:hint="eastAsia"/>
            </w:rPr>
            <w:fldChar w:fldCharType="begin"/>
          </w:r>
          <w:r>
            <w:rPr>
              <w:rFonts w:hint="eastAsia"/>
            </w:rPr>
            <w:instrText xml:space="preserve"> </w:instrText>
          </w:r>
          <w:r>
            <w:instrText xml:space="preserve">PAGEREF _Toc176101074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3682BC85">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"_Toc176101075" </w:instrText>
          </w:r>
          <w:r>
            <w:fldChar w:fldCharType="separate"/>
          </w:r>
          <w:r>
            <w:rPr>
              <w:rStyle w:val="23"/>
              <w:rFonts w:hint="eastAsia"/>
            </w:rPr>
            <w:t>6.2.</w:t>
          </w:r>
          <w:r>
            <w:rPr>
              <w:rFonts w:hint="eastAsia" w:asciiTheme="minorHAnsi" w:hAnsiTheme="minorHAnsi" w:eastAsiaTheme="minorEastAsia" w:cstheme="minorBidi"/>
              <w:spacing w:val="0"/>
              <w:sz w:val="21"/>
              <w:szCs w:val="22"/>
              <w14:ligatures w14:val="standardContextual"/>
            </w:rPr>
            <w:tab/>
          </w:r>
          <w:r>
            <w:rPr>
              <w:rStyle w:val="23"/>
              <w:rFonts w:hint="eastAsia"/>
            </w:rPr>
            <w:t>消防措施</w:t>
          </w:r>
          <w:r>
            <w:rPr>
              <w:rFonts w:hint="eastAsia"/>
            </w:rPr>
            <w:tab/>
          </w:r>
          <w:r>
            <w:rPr>
              <w:rFonts w:hint="eastAsia"/>
            </w:rPr>
            <w:fldChar w:fldCharType="begin"/>
          </w:r>
          <w:r>
            <w:rPr>
              <w:rFonts w:hint="eastAsia"/>
            </w:rPr>
            <w:instrText xml:space="preserve"> </w:instrText>
          </w:r>
          <w:r>
            <w:instrText xml:space="preserve">PAGEREF _Toc176101075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76F25C2A">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"_Toc176101076" </w:instrText>
          </w:r>
          <w:r>
            <w:fldChar w:fldCharType="separate"/>
          </w:r>
          <w:r>
            <w:rPr>
              <w:rStyle w:val="23"/>
              <w:rFonts w:hint="eastAsia"/>
            </w:rPr>
            <w:t>6.3.</w:t>
          </w:r>
          <w:r>
            <w:rPr>
              <w:rFonts w:hint="eastAsia" w:asciiTheme="minorHAnsi" w:hAnsiTheme="minorHAnsi" w:eastAsiaTheme="minorEastAsia" w:cstheme="minorBidi"/>
              <w:spacing w:val="0"/>
              <w:sz w:val="21"/>
              <w:szCs w:val="22"/>
              <w14:ligatures w14:val="standardContextual"/>
            </w:rPr>
            <w:tab/>
          </w:r>
          <w:r>
            <w:rPr>
              <w:rStyle w:val="23"/>
              <w:rFonts w:hint="eastAsia"/>
            </w:rPr>
            <w:t>职业安全和卫生措施</w:t>
          </w:r>
          <w:r>
            <w:rPr>
              <w:rFonts w:hint="eastAsia"/>
            </w:rPr>
            <w:tab/>
          </w:r>
          <w:r>
            <w:rPr>
              <w:rFonts w:hint="eastAsia"/>
            </w:rPr>
            <w:fldChar w:fldCharType="begin"/>
          </w:r>
          <w:r>
            <w:rPr>
              <w:rFonts w:hint="eastAsia"/>
            </w:rPr>
            <w:instrText xml:space="preserve"> </w:instrText>
          </w:r>
          <w:r>
            <w:instrText xml:space="preserve">PAGEREF _Toc176101076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2B2001B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"_Toc176101077" </w:instrText>
          </w:r>
          <w:r>
            <w:fldChar w:fldCharType="separate"/>
          </w:r>
          <w:r>
            <w:rPr>
              <w:rStyle w:val="23"/>
              <w:rFonts w:hint="eastAsia"/>
            </w:rPr>
            <w:t>6.4.</w:t>
          </w:r>
          <w:r>
            <w:rPr>
              <w:rFonts w:hint="eastAsia" w:asciiTheme="minorHAnsi" w:hAnsiTheme="minorHAnsi" w:eastAsiaTheme="minorEastAsia" w:cstheme="minorBidi"/>
              <w:spacing w:val="0"/>
              <w:sz w:val="21"/>
              <w:szCs w:val="22"/>
              <w14:ligatures w14:val="standardContextual"/>
            </w:rPr>
            <w:tab/>
          </w:r>
          <w:r>
            <w:rPr>
              <w:rStyle w:val="23"/>
              <w:rFonts w:hint="eastAsia"/>
            </w:rPr>
            <w:t>节能目标及措施</w:t>
          </w:r>
          <w:r>
            <w:rPr>
              <w:rFonts w:hint="eastAsia"/>
            </w:rPr>
            <w:tab/>
          </w:r>
          <w:r>
            <w:rPr>
              <w:rFonts w:hint="eastAsia"/>
            </w:rPr>
            <w:fldChar w:fldCharType="begin"/>
          </w:r>
          <w:r>
            <w:rPr>
              <w:rFonts w:hint="eastAsia"/>
            </w:rPr>
            <w:instrText xml:space="preserve"> </w:instrText>
          </w:r>
          <w:r>
            <w:instrText xml:space="preserve">PAGEREF _Toc176101077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596BE99F">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"_Toc176101078" </w:instrText>
          </w:r>
          <w:r>
            <w:fldChar w:fldCharType="separate"/>
          </w:r>
          <w:r>
            <w:rPr>
              <w:rStyle w:val="23"/>
              <w:rFonts w:hint="eastAsia"/>
            </w:rPr>
            <w:t>7.</w:t>
          </w:r>
          <w:r>
            <w:rPr>
              <w:rFonts w:hint="eastAsia" w:asciiTheme="minorHAnsi" w:hAnsiTheme="minorHAnsi" w:eastAsiaTheme="minorEastAsia" w:cstheme="minorBidi"/>
              <w:spacing w:val="0"/>
              <w:sz w:val="21"/>
              <w:szCs w:val="22"/>
              <w14:ligatures w14:val="standardContextual"/>
            </w:rPr>
            <w:tab/>
          </w:r>
          <w:r>
            <w:rPr>
              <w:rStyle w:val="23"/>
              <w:rFonts w:hint="eastAsia"/>
            </w:rPr>
            <w:t>项目组织机构和人员</w:t>
          </w:r>
          <w:r>
            <w:rPr>
              <w:rFonts w:hint="eastAsia"/>
            </w:rPr>
            <w:tab/>
          </w:r>
          <w:r>
            <w:rPr>
              <w:rFonts w:hint="eastAsia"/>
            </w:rPr>
            <w:fldChar w:fldCharType="begin"/>
          </w:r>
          <w:r>
            <w:rPr>
              <w:rFonts w:hint="eastAsia"/>
            </w:rPr>
            <w:instrText xml:space="preserve"> </w:instrText>
          </w:r>
          <w:r>
            <w:instrText xml:space="preserve">PAGEREF _Toc176101078 \h</w:instrText>
          </w:r>
          <w:r>
            <w:rPr>
              <w:rFonts w:hint="eastAsia"/>
            </w:rPr>
            <w:instrText xml:space="preserve"> </w:instrText>
          </w:r>
          <w:r>
            <w:rPr>
              <w:rFonts w:hint="eastAsia"/>
            </w:rPr>
            <w:fldChar w:fldCharType="separate"/>
          </w:r>
          <w:r>
            <w:rPr>
              <w:rFonts w:hint="eastAsia"/>
            </w:rPr>
            <w:t>29</w:t>
          </w:r>
          <w:r>
            <w:rPr>
              <w:rFonts w:hint="eastAsia"/>
            </w:rPr>
            <w:fldChar w:fldCharType="end"/>
          </w:r>
          <w:r>
            <w:rPr>
              <w:rFonts w:hint="eastAsia"/>
            </w:rPr>
            <w:fldChar w:fldCharType="end"/>
          </w:r>
        </w:p>
        <w:p w14:paraId="4CCD4BC2">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"_Toc176101079" </w:instrText>
          </w:r>
          <w:r>
            <w:fldChar w:fldCharType="separate"/>
          </w:r>
          <w:r>
            <w:rPr>
              <w:rStyle w:val="23"/>
              <w:rFonts w:hint="eastAsia"/>
            </w:rPr>
            <w:t>7.1.</w:t>
          </w:r>
          <w:r>
            <w:rPr>
              <w:rFonts w:hint="eastAsia" w:asciiTheme="minorHAnsi" w:hAnsiTheme="minorHAnsi" w:eastAsiaTheme="minorEastAsia" w:cstheme="minorBidi"/>
              <w:spacing w:val="0"/>
              <w:sz w:val="21"/>
              <w:szCs w:val="22"/>
              <w14:ligatures w14:val="standardContextual"/>
            </w:rPr>
            <w:tab/>
          </w:r>
          <w:r>
            <w:rPr>
              <w:rStyle w:val="23"/>
              <w:rFonts w:hint="eastAsia"/>
            </w:rPr>
            <w:t>领导和管理机构</w:t>
          </w:r>
          <w:r>
            <w:rPr>
              <w:rFonts w:hint="eastAsia"/>
            </w:rPr>
            <w:tab/>
          </w:r>
          <w:r>
            <w:rPr>
              <w:rFonts w:hint="eastAsia"/>
            </w:rPr>
            <w:fldChar w:fldCharType="begin"/>
          </w:r>
          <w:r>
            <w:rPr>
              <w:rFonts w:hint="eastAsia"/>
            </w:rPr>
            <w:instrText xml:space="preserve"> </w:instrText>
          </w:r>
          <w:r>
            <w:instrText xml:space="preserve">PAGEREF _Toc176101079 \h</w:instrText>
          </w:r>
          <w:r>
            <w:rPr>
              <w:rFonts w:hint="eastAsia"/>
            </w:rPr>
            <w:instrText xml:space="preserve"> </w:instrText>
          </w:r>
          <w:r>
            <w:rPr>
              <w:rFonts w:hint="eastAsia"/>
            </w:rPr>
            <w:fldChar w:fldCharType="separate"/>
          </w:r>
          <w:r>
            <w:rPr>
              <w:rFonts w:hint="eastAsia"/>
            </w:rPr>
            <w:t>29</w:t>
          </w:r>
          <w:r>
            <w:rPr>
              <w:rFonts w:hint="eastAsia"/>
            </w:rPr>
            <w:fldChar w:fldCharType="end"/>
          </w:r>
          <w:r>
            <w:rPr>
              <w:rFonts w:hint="eastAsia"/>
            </w:rPr>
            <w:fldChar w:fldCharType="end"/>
          </w:r>
        </w:p>
        <w:p w14:paraId="7B6A48EC">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"_Toc176101080" </w:instrText>
          </w:r>
          <w:r>
            <w:fldChar w:fldCharType="separate"/>
          </w:r>
          <w:r>
            <w:rPr>
              <w:rStyle w:val="23"/>
              <w:rFonts w:hint="eastAsia"/>
            </w:rPr>
            <w:t>7.2.</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项目实施及运行维护机构</w:t>
          </w:r>
          <w:r>
            <w:rPr>
              <w:rFonts w:hint="eastAsia"/>
            </w:rPr>
            <w:tab/>
          </w:r>
          <w:r>
            <w:rPr>
              <w:rFonts w:hint="eastAsia"/>
            </w:rPr>
            <w:fldChar w:fldCharType="begin"/>
          </w:r>
          <w:r>
            <w:rPr>
              <w:rFonts w:hint="eastAsia"/>
            </w:rPr>
            <w:instrText xml:space="preserve"> </w:instrText>
          </w:r>
          <w:r>
            <w:instrText xml:space="preserve">PAGEREF _Toc176101080 \h</w:instrText>
          </w:r>
          <w:r>
            <w:rPr>
              <w:rFonts w:hint="eastAsia"/>
            </w:rPr>
            <w:instrText xml:space="preserve"> </w:instrText>
          </w:r>
          <w:r>
            <w:rPr>
              <w:rFonts w:hint="eastAsia"/>
            </w:rPr>
            <w:fldChar w:fldCharType="separate"/>
          </w:r>
          <w:r>
            <w:rPr>
              <w:rFonts w:hint="eastAsia"/>
            </w:rPr>
            <w:t>29</w:t>
          </w:r>
          <w:r>
            <w:rPr>
              <w:rFonts w:hint="eastAsia"/>
            </w:rPr>
            <w:fldChar w:fldCharType="end"/>
          </w:r>
          <w:r>
            <w:rPr>
              <w:rFonts w:hint="eastAsia"/>
            </w:rPr>
            <w:fldChar w:fldCharType="end"/>
          </w:r>
        </w:p>
        <w:p w14:paraId="4CF35F68">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"_Toc176101081" </w:instrText>
          </w:r>
          <w:r>
            <w:fldChar w:fldCharType="separate"/>
          </w:r>
          <w:r>
            <w:rPr>
              <w:rStyle w:val="23"/>
              <w:rFonts w:hint="eastAsia"/>
            </w:rPr>
            <w:t>7.3.</w:t>
          </w:r>
          <w:r>
            <w:rPr>
              <w:rFonts w:hint="eastAsia" w:asciiTheme="minorHAnsi" w:hAnsiTheme="minorHAnsi" w:eastAsiaTheme="minorEastAsia" w:cstheme="minorBidi"/>
              <w:spacing w:val="0"/>
              <w:sz w:val="21"/>
              <w:szCs w:val="22"/>
              <w14:ligatures w14:val="standardContextual"/>
            </w:rPr>
            <w:tab/>
          </w:r>
          <w:r>
            <w:rPr>
              <w:rStyle w:val="23"/>
              <w:rFonts w:hint="eastAsia"/>
            </w:rPr>
            <w:t>技术力量和人员配置</w:t>
          </w:r>
          <w:r>
            <w:rPr>
              <w:rFonts w:hint="eastAsia"/>
            </w:rPr>
            <w:tab/>
          </w:r>
          <w:r>
            <w:rPr>
              <w:rFonts w:hint="eastAsia"/>
            </w:rPr>
            <w:fldChar w:fldCharType="begin"/>
          </w:r>
          <w:r>
            <w:rPr>
              <w:rFonts w:hint="eastAsia"/>
            </w:rPr>
            <w:instrText xml:space="preserve"> </w:instrText>
          </w:r>
          <w:r>
            <w:instrText xml:space="preserve">PAGEREF _Toc176101081 \h</w:instrText>
          </w:r>
          <w:r>
            <w:rPr>
              <w:rFonts w:hint="eastAsia"/>
            </w:rPr>
            <w:instrText xml:space="preserve"> </w:instrText>
          </w:r>
          <w:r>
            <w:rPr>
              <w:rFonts w:hint="eastAsia"/>
            </w:rPr>
            <w:fldChar w:fldCharType="separate"/>
          </w:r>
          <w:r>
            <w:rPr>
              <w:rFonts w:hint="eastAsia"/>
            </w:rPr>
            <w:t>29</w:t>
          </w:r>
          <w:r>
            <w:rPr>
              <w:rFonts w:hint="eastAsia"/>
            </w:rPr>
            <w:fldChar w:fldCharType="end"/>
          </w:r>
          <w:r>
            <w:rPr>
              <w:rFonts w:hint="eastAsia"/>
            </w:rPr>
            <w:fldChar w:fldCharType="end"/>
          </w:r>
        </w:p>
        <w:p w14:paraId="34AF8DFE">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"_Toc176101082" </w:instrText>
          </w:r>
          <w:r>
            <w:fldChar w:fldCharType="separate"/>
          </w:r>
          <w:r>
            <w:rPr>
              <w:rStyle w:val="23"/>
              <w:rFonts w:hint="eastAsia"/>
            </w:rPr>
            <w:t>7.4.</w:t>
          </w:r>
          <w:r>
            <w:rPr>
              <w:rFonts w:hint="eastAsia" w:asciiTheme="minorHAnsi" w:hAnsiTheme="minorHAnsi" w:eastAsiaTheme="minorEastAsia" w:cstheme="minorBidi"/>
              <w:spacing w:val="0"/>
              <w:sz w:val="21"/>
              <w:szCs w:val="22"/>
              <w14:ligatures w14:val="standardContextual"/>
            </w:rPr>
            <w:tab/>
          </w:r>
          <w:r>
            <w:rPr>
              <w:rStyle w:val="23"/>
              <w:rFonts w:hint="eastAsia"/>
            </w:rPr>
            <w:t>培训目的</w:t>
          </w:r>
          <w:r>
            <w:rPr>
              <w:rFonts w:hint="eastAsia"/>
            </w:rPr>
            <w:tab/>
          </w:r>
          <w:r>
            <w:rPr>
              <w:rFonts w:hint="eastAsia"/>
            </w:rPr>
            <w:fldChar w:fldCharType="begin"/>
          </w:r>
          <w:r>
            <w:rPr>
              <w:rFonts w:hint="eastAsia"/>
            </w:rPr>
            <w:instrText xml:space="preserve"> </w:instrText>
          </w:r>
          <w:r>
            <w:instrText xml:space="preserve">PAGEREF _Toc176101082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378D5CB5">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"_Toc176101083" </w:instrText>
          </w:r>
          <w:r>
            <w:fldChar w:fldCharType="separate"/>
          </w:r>
          <w:r>
            <w:rPr>
              <w:rStyle w:val="23"/>
              <w:rFonts w:hint="eastAsia"/>
            </w:rPr>
            <w:t>7.5.</w:t>
          </w:r>
          <w:r>
            <w:rPr>
              <w:rFonts w:hint="eastAsia" w:asciiTheme="minorHAnsi" w:hAnsiTheme="minorHAnsi" w:eastAsiaTheme="minorEastAsia" w:cstheme="minorBidi"/>
              <w:spacing w:val="0"/>
              <w:sz w:val="21"/>
              <w:szCs w:val="22"/>
              <w14:ligatures w14:val="standardContextual"/>
            </w:rPr>
            <w:tab/>
          </w:r>
          <w:r>
            <w:rPr>
              <w:rStyle w:val="23"/>
              <w:rFonts w:hint="eastAsia"/>
            </w:rPr>
            <w:t>培训目标及对象</w:t>
          </w:r>
          <w:r>
            <w:rPr>
              <w:rFonts w:hint="eastAsia"/>
            </w:rPr>
            <w:tab/>
          </w:r>
          <w:r>
            <w:rPr>
              <w:rFonts w:hint="eastAsia"/>
            </w:rPr>
            <w:fldChar w:fldCharType="begin"/>
          </w:r>
          <w:r>
            <w:rPr>
              <w:rFonts w:hint="eastAsia"/>
            </w:rPr>
            <w:instrText xml:space="preserve"> </w:instrText>
          </w:r>
          <w:r>
            <w:instrText xml:space="preserve">PAGEREF _Toc176101083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20C43A1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"_Toc176101084" </w:instrText>
          </w:r>
          <w:r>
            <w:fldChar w:fldCharType="separate"/>
          </w:r>
          <w:r>
            <w:rPr>
              <w:rStyle w:val="23"/>
              <w:rFonts w:hint="eastAsia"/>
            </w:rPr>
            <w:t>7.6.</w:t>
          </w:r>
          <w:r>
            <w:rPr>
              <w:rFonts w:hint="eastAsia" w:asciiTheme="minorHAnsi" w:hAnsiTheme="minorHAnsi" w:eastAsiaTheme="minorEastAsia" w:cstheme="minorBidi"/>
              <w:spacing w:val="0"/>
              <w:sz w:val="21"/>
              <w:szCs w:val="22"/>
              <w14:ligatures w14:val="standardContextual"/>
            </w:rPr>
            <w:tab/>
          </w:r>
          <w:r>
            <w:rPr>
              <w:rStyle w:val="23"/>
              <w:rFonts w:hint="eastAsia"/>
            </w:rPr>
            <w:t>培训方式</w:t>
          </w:r>
          <w:r>
            <w:rPr>
              <w:rFonts w:hint="eastAsia"/>
            </w:rPr>
            <w:tab/>
          </w:r>
          <w:r>
            <w:rPr>
              <w:rFonts w:hint="eastAsia"/>
            </w:rPr>
            <w:fldChar w:fldCharType="begin"/>
          </w:r>
          <w:r>
            <w:rPr>
              <w:rFonts w:hint="eastAsia"/>
            </w:rPr>
            <w:instrText xml:space="preserve"> </w:instrText>
          </w:r>
          <w:r>
            <w:instrText xml:space="preserve">PAGEREF _Toc176101084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17121DBD">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"_Toc176101085" </w:instrText>
          </w:r>
          <w:r>
            <w:fldChar w:fldCharType="separate"/>
          </w:r>
          <w:r>
            <w:rPr>
              <w:rStyle w:val="23"/>
              <w:rFonts w:hint="eastAsia"/>
            </w:rPr>
            <w:t>7.7.</w:t>
          </w:r>
          <w:r>
            <w:rPr>
              <w:rFonts w:hint="eastAsia" w:asciiTheme="minorHAnsi" w:hAnsiTheme="minorHAnsi" w:eastAsiaTheme="minorEastAsia" w:cstheme="minorBidi"/>
              <w:spacing w:val="0"/>
              <w:sz w:val="21"/>
              <w:szCs w:val="22"/>
              <w14:ligatures w14:val="standardContextual"/>
            </w:rPr>
            <w:tab/>
          </w:r>
          <w:r>
            <w:rPr>
              <w:rStyle w:val="23"/>
              <w:rFonts w:hint="eastAsia"/>
            </w:rPr>
            <w:t>培训内容</w:t>
          </w:r>
          <w:r>
            <w:rPr>
              <w:rFonts w:hint="eastAsia"/>
            </w:rPr>
            <w:tab/>
          </w:r>
          <w:r>
            <w:rPr>
              <w:rFonts w:hint="eastAsia"/>
            </w:rPr>
            <w:fldChar w:fldCharType="begin"/>
          </w:r>
          <w:r>
            <w:rPr>
              <w:rFonts w:hint="eastAsia"/>
            </w:rPr>
            <w:instrText xml:space="preserve"> </w:instrText>
          </w:r>
          <w:r>
            <w:instrText xml:space="preserve">PAGEREF _Toc176101085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2DFA3C9B">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"_Toc176101086" </w:instrText>
          </w:r>
          <w:r>
            <w:fldChar w:fldCharType="separate"/>
          </w:r>
          <w:r>
            <w:rPr>
              <w:rStyle w:val="23"/>
              <w:rFonts w:hint="eastAsia"/>
            </w:rPr>
            <w:t>8.</w:t>
          </w:r>
          <w:r>
            <w:rPr>
              <w:rFonts w:hint="eastAsia" w:asciiTheme="minorHAnsi" w:hAnsiTheme="minorHAnsi" w:eastAsiaTheme="minorEastAsia" w:cstheme="minorBidi"/>
              <w:spacing w:val="0"/>
              <w:sz w:val="21"/>
              <w:szCs w:val="22"/>
              <w14:ligatures w14:val="standardContextual"/>
            </w:rPr>
            <w:tab/>
          </w:r>
          <w:r>
            <w:rPr>
              <w:rStyle w:val="23"/>
              <w:rFonts w:hint="eastAsia"/>
            </w:rPr>
            <w:t>项目实施进度</w:t>
          </w:r>
          <w:r>
            <w:rPr>
              <w:rFonts w:hint="eastAsia"/>
            </w:rPr>
            <w:tab/>
          </w:r>
          <w:r>
            <w:rPr>
              <w:rFonts w:hint="eastAsia"/>
            </w:rPr>
            <w:fldChar w:fldCharType="begin"/>
          </w:r>
          <w:r>
            <w:rPr>
              <w:rFonts w:hint="eastAsia"/>
            </w:rPr>
            <w:instrText xml:space="preserve"> </w:instrText>
          </w:r>
          <w:r>
            <w:instrText xml:space="preserve">PAGEREF _Toc176101086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78551498">
          <w:pPr>
            <w:pStyle w:val="17"/>
            <w:tabs>
              <w:tab w:val="left" w:pos="1050"/>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"_Toc176101087" </w:instrText>
          </w:r>
          <w:r>
            <w:fldChar w:fldCharType="separate"/>
          </w:r>
          <w:r>
            <w:rPr>
              <w:rStyle w:val="23"/>
              <w:rFonts w:hint="eastAsia"/>
            </w:rPr>
            <w:t>9.</w:t>
          </w:r>
          <w:r>
            <w:rPr>
              <w:rFonts w:hint="eastAsia" w:asciiTheme="minorHAnsi" w:hAnsiTheme="minorHAnsi" w:eastAsiaTheme="minorEastAsia" w:cstheme="minorBidi"/>
              <w:spacing w:val="0"/>
              <w:sz w:val="21"/>
              <w:szCs w:val="22"/>
              <w14:ligatures w14:val="standardContextual"/>
            </w:rPr>
            <w:tab/>
          </w:r>
          <w:r>
            <w:rPr>
              <w:rStyle w:val="23"/>
              <w:rFonts w:hint="eastAsia"/>
            </w:rPr>
            <w:t>项目风险分析</w:t>
          </w:r>
          <w:r>
            <w:rPr>
              <w:rFonts w:hint="eastAsia"/>
            </w:rPr>
            <w:tab/>
          </w:r>
          <w:r>
            <w:rPr>
              <w:rFonts w:hint="eastAsia"/>
            </w:rPr>
            <w:fldChar w:fldCharType="begin"/>
          </w:r>
          <w:r>
            <w:rPr>
              <w:rFonts w:hint="eastAsia"/>
            </w:rPr>
            <w:instrText xml:space="preserve"> </w:instrText>
          </w:r>
          <w:r>
            <w:instrText xml:space="preserve">PAGEREF _Toc176101087 \h</w:instrText>
          </w:r>
          <w:r>
            <w:rPr>
              <w:rFonts w:hint="eastAsia"/>
            </w:rPr>
            <w:instrText xml:space="preserve"> </w:instrText>
          </w:r>
          <w:r>
            <w:rPr>
              <w:rFonts w:hint="eastAsia"/>
            </w:rPr>
            <w:fldChar w:fldCharType="separate"/>
          </w:r>
          <w:r>
            <w:rPr>
              <w:rFonts w:hint="eastAsia"/>
            </w:rPr>
            <w:t>34</w:t>
          </w:r>
          <w:r>
            <w:rPr>
              <w:rFonts w:hint="eastAsia"/>
            </w:rPr>
            <w:fldChar w:fldCharType="end"/>
          </w:r>
          <w:r>
            <w:rPr>
              <w:rFonts w:hint="eastAsia"/>
            </w:rPr>
            <w:fldChar w:fldCharType="end"/>
          </w:r>
        </w:p>
        <w:p w14:paraId="04D7D3DF">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"_Toc176101088" </w:instrText>
          </w:r>
          <w:r>
            <w:fldChar w:fldCharType="separate"/>
          </w:r>
          <w:r>
            <w:rPr>
              <w:rStyle w:val="23"/>
              <w:rFonts w:hint="eastAsia"/>
            </w:rPr>
            <w:t>9.1.</w:t>
          </w:r>
          <w:r>
            <w:rPr>
              <w:rFonts w:hint="eastAsia" w:asciiTheme="minorHAnsi" w:hAnsiTheme="minorHAnsi" w:eastAsiaTheme="minorEastAsia" w:cstheme="minorBidi"/>
              <w:spacing w:val="0"/>
              <w:sz w:val="21"/>
              <w:szCs w:val="22"/>
              <w14:ligatures w14:val="standardContextual"/>
            </w:rPr>
            <w:tab/>
          </w:r>
          <w:r>
            <w:rPr>
              <w:rStyle w:val="23"/>
              <w:rFonts w:hint="eastAsia"/>
            </w:rPr>
            <w:t>协调风险及控制</w:t>
          </w:r>
          <w:r>
            <w:rPr>
              <w:rFonts w:hint="eastAsia"/>
            </w:rPr>
            <w:tab/>
          </w:r>
          <w:r>
            <w:rPr>
              <w:rFonts w:hint="eastAsia"/>
            </w:rPr>
            <w:fldChar w:fldCharType="begin"/>
          </w:r>
          <w:r>
            <w:rPr>
              <w:rFonts w:hint="eastAsia"/>
            </w:rPr>
            <w:instrText xml:space="preserve"> </w:instrText>
          </w:r>
          <w:r>
            <w:instrText xml:space="preserve">PAGEREF _Toc176101088 \h</w:instrText>
          </w:r>
          <w:r>
            <w:rPr>
              <w:rFonts w:hint="eastAsia"/>
            </w:rPr>
            <w:instrText xml:space="preserve"> </w:instrText>
          </w:r>
          <w:r>
            <w:rPr>
              <w:rFonts w:hint="eastAsia"/>
            </w:rPr>
            <w:fldChar w:fldCharType="separate"/>
          </w:r>
          <w:r>
            <w:rPr>
              <w:rFonts w:hint="eastAsia"/>
            </w:rPr>
            <w:t>34</w:t>
          </w:r>
          <w:r>
            <w:rPr>
              <w:rFonts w:hint="eastAsia"/>
            </w:rPr>
            <w:fldChar w:fldCharType="end"/>
          </w:r>
          <w:r>
            <w:rPr>
              <w:rFonts w:hint="eastAsia"/>
            </w:rPr>
            <w:fldChar w:fldCharType="end"/>
          </w:r>
        </w:p>
        <w:p w14:paraId="7B1F6297">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"_Toc176101089" </w:instrText>
          </w:r>
          <w:r>
            <w:fldChar w:fldCharType="separate"/>
          </w:r>
          <w:r>
            <w:rPr>
              <w:rStyle w:val="23"/>
              <w:rFonts w:hint="eastAsia"/>
            </w:rPr>
            <w:t>9.2.</w:t>
          </w:r>
          <w:r>
            <w:rPr>
              <w:rFonts w:hint="eastAsia" w:asciiTheme="minorHAnsi" w:hAnsiTheme="minorHAnsi" w:eastAsiaTheme="minorEastAsia" w:cstheme="minorBidi"/>
              <w:spacing w:val="0"/>
              <w:sz w:val="21"/>
              <w:szCs w:val="22"/>
              <w14:ligatures w14:val="standardContextual"/>
            </w:rPr>
            <w:tab/>
          </w:r>
          <w:r>
            <w:rPr>
              <w:rStyle w:val="23"/>
              <w:rFonts w:hint="eastAsia"/>
            </w:rPr>
            <w:t>项目技术风险控制</w:t>
          </w:r>
          <w:r>
            <w:rPr>
              <w:rFonts w:hint="eastAsia"/>
            </w:rPr>
            <w:tab/>
          </w:r>
          <w:r>
            <w:rPr>
              <w:rFonts w:hint="eastAsia"/>
            </w:rPr>
            <w:fldChar w:fldCharType="begin"/>
          </w:r>
          <w:r>
            <w:rPr>
              <w:rFonts w:hint="eastAsia"/>
            </w:rPr>
            <w:instrText xml:space="preserve"> </w:instrText>
          </w:r>
          <w:r>
            <w:instrText xml:space="preserve">PAGEREF _Toc176101089 \h</w:instrText>
          </w:r>
          <w:r>
            <w:rPr>
              <w:rFonts w:hint="eastAsia"/>
            </w:rPr>
            <w:instrText xml:space="preserve"> </w:instrText>
          </w:r>
          <w:r>
            <w:rPr>
              <w:rFonts w:hint="eastAsia"/>
            </w:rPr>
            <w:fldChar w:fldCharType="separate"/>
          </w:r>
          <w:r>
            <w:rPr>
              <w:rFonts w:hint="eastAsia"/>
            </w:rPr>
            <w:t>34</w:t>
          </w:r>
          <w:r>
            <w:rPr>
              <w:rFonts w:hint="eastAsia"/>
            </w:rPr>
            <w:fldChar w:fldCharType="end"/>
          </w:r>
          <w:r>
            <w:rPr>
              <w:rFonts w:hint="eastAsia"/>
            </w:rPr>
            <w:fldChar w:fldCharType="end"/>
          </w:r>
        </w:p>
        <w:p w14:paraId="4B758116">
          <w:pPr>
            <w:pStyle w:val="18"/>
            <w:tabs>
              <w:tab w:val="left" w:pos="1680"/>
              <w:tab w:val="right" w:leader="dot" w:pos="8296"/>
            </w:tabs>
            <w:ind w:left="520"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"_Toc176101090" </w:instrText>
          </w:r>
          <w:r>
            <w:fldChar w:fldCharType="separate"/>
          </w:r>
          <w:r>
            <w:rPr>
              <w:rStyle w:val="23"/>
              <w:rFonts w:hint="eastAsia"/>
            </w:rPr>
            <w:t>9.3.</w:t>
          </w:r>
          <w:r>
            <w:rPr>
              <w:rFonts w:hint="eastAsia" w:asciiTheme="minorHAnsi" w:hAnsiTheme="minorHAnsi" w:eastAsiaTheme="minorEastAsia" w:cstheme="minorBidi"/>
              <w:spacing w:val="0"/>
              <w:sz w:val="21"/>
              <w:szCs w:val="22"/>
              <w14:ligatures w14:val="standardContextual"/>
            </w:rPr>
            <w:tab/>
          </w:r>
          <w:r>
            <w:rPr>
              <w:rStyle w:val="23"/>
              <w:rFonts w:hint="eastAsia"/>
            </w:rPr>
            <w:t>社会影响风险及控制</w:t>
          </w:r>
          <w:r>
            <w:rPr>
              <w:rFonts w:hint="eastAsia"/>
            </w:rPr>
            <w:tab/>
          </w:r>
          <w:r>
            <w:rPr>
              <w:rFonts w:hint="eastAsia"/>
            </w:rPr>
            <w:fldChar w:fldCharType="begin"/>
          </w:r>
          <w:r>
            <w:rPr>
              <w:rFonts w:hint="eastAsia"/>
            </w:rPr>
            <w:instrText xml:space="preserve"> </w:instrText>
          </w:r>
          <w:r>
            <w:instrText xml:space="preserve">PAGEREF _Toc176101090 \h</w:instrText>
          </w:r>
          <w:r>
            <w:rPr>
              <w:rFonts w:hint="eastAsia"/>
            </w:rPr>
            <w:instrText xml:space="preserve"> </w:instrText>
          </w:r>
          <w:r>
            <w:rPr>
              <w:rFonts w:hint="eastAsia"/>
            </w:rPr>
            <w:fldChar w:fldCharType="separate"/>
          </w:r>
          <w:r>
            <w:rPr>
              <w:rFonts w:hint="eastAsia"/>
            </w:rPr>
            <w:t>34</w:t>
          </w:r>
          <w:r>
            <w:rPr>
              <w:rFonts w:hint="eastAsia"/>
            </w:rPr>
            <w:fldChar w:fldCharType="end"/>
          </w:r>
          <w:r>
            <w:rPr>
              <w:rFonts w:hint="eastAsia"/>
            </w:rPr>
            <w:fldChar w:fldCharType="end"/>
          </w:r>
        </w:p>
        <w:p w14:paraId="231D9780">
          <w:pPr>
            <w:pStyle w:val="17"/>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"_Toc176101091" </w:instrText>
          </w:r>
          <w:r>
            <w:fldChar w:fldCharType="separate"/>
          </w:r>
          <w:r>
            <w:rPr>
              <w:rStyle w:val="23"/>
              <w:rFonts w:hint="eastAsia"/>
            </w:rPr>
            <w:t>附表1：项目软件配置清单及预算</w:t>
          </w:r>
          <w:r>
            <w:rPr>
              <w:rFonts w:hint="eastAsia"/>
            </w:rPr>
            <w:tab/>
          </w:r>
          <w:r>
            <w:rPr>
              <w:rFonts w:hint="eastAsia"/>
            </w:rPr>
            <w:fldChar w:fldCharType="begin"/>
          </w:r>
          <w:r>
            <w:rPr>
              <w:rFonts w:hint="eastAsia"/>
            </w:rPr>
            <w:instrText xml:space="preserve"> </w:instrText>
          </w:r>
          <w:r>
            <w:instrText xml:space="preserve">PAGEREF _Toc176101091 \h</w:instrText>
          </w:r>
          <w:r>
            <w:rPr>
              <w:rFonts w:hint="eastAsia"/>
            </w:rPr>
            <w:instrText xml:space="preserve"> </w:instrText>
          </w:r>
          <w:r>
            <w:rPr>
              <w:rFonts w:hint="eastAsia"/>
            </w:rPr>
            <w:fldChar w:fldCharType="separate"/>
          </w:r>
          <w:r>
            <w:rPr>
              <w:rFonts w:hint="eastAsia"/>
            </w:rPr>
            <w:t>36</w:t>
          </w:r>
          <w:r>
            <w:rPr>
              <w:rFonts w:hint="eastAsia"/>
            </w:rPr>
            <w:fldChar w:fldCharType="end"/>
          </w:r>
          <w:r>
            <w:rPr>
              <w:rFonts w:hint="eastAsia"/>
            </w:rPr>
            <w:fldChar w:fldCharType="end"/>
          </w:r>
        </w:p>
        <w:p w14:paraId="69855BA5">
          <w:pPr>
            <w:pStyle w:val="17"/>
            <w:tabs>
              <w:tab w:val="right" w:leader="dot" w:pos="8296"/>
            </w:tabs>
            <w:ind w:firstLine="480"/>
            <w:rPr>
              <w:rFonts w:asciiTheme="minorHAnsi" w:hAnsiTheme="minorHAnsi" w:eastAsiaTheme="minorEastAsia" w:cstheme="minorBidi"/>
              <w:spacing w:val="0"/>
              <w:sz w:val="21"/>
              <w:szCs w:val="22"/>
              <w14:ligatures w14:val="standardContextual"/>
            </w:rPr>
          </w:pPr>
          <w:r>
            <w:fldChar w:fldCharType="begin"/>
          </w:r>
          <w:r>
            <w:instrText xml:space="preserve"> HYPERLINK \l "_Toc176101092" </w:instrText>
          </w:r>
          <w:r>
            <w:fldChar w:fldCharType="separate"/>
          </w:r>
          <w:r>
            <w:rPr>
              <w:rStyle w:val="23"/>
              <w:rFonts w:hint="eastAsia"/>
            </w:rPr>
            <w:t>附表2：项目详细配置清单</w:t>
          </w:r>
          <w:r>
            <w:rPr>
              <w:rFonts w:hint="eastAsia"/>
            </w:rPr>
            <w:tab/>
          </w:r>
          <w:r>
            <w:rPr>
              <w:rFonts w:hint="eastAsia"/>
            </w:rPr>
            <w:fldChar w:fldCharType="begin"/>
          </w:r>
          <w:r>
            <w:rPr>
              <w:rFonts w:hint="eastAsia"/>
            </w:rPr>
            <w:instrText xml:space="preserve"> </w:instrText>
          </w:r>
          <w:r>
            <w:instrText xml:space="preserve">PAGEREF _Toc176101092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218213AE">
          <w:pPr>
            <w:ind w:firstLine="480"/>
            <w:rPr>
              <w:rFonts w:hint="eastAsia"/>
              <w:b/>
            </w:rPr>
            <w:sectPr>
              <w:footerReference r:id="rId5" w:type="default"/>
              <w:pgSz w:w="11906" w:h="16838"/>
              <w:pgMar w:top="1440" w:right="1800" w:bottom="1440" w:left="1800" w:header="851" w:footer="992" w:gutter="0"/>
              <w:pgBorders>
                <w:top w:val="single" w:color="auto" w:sz="4" w:space="1"/>
                <w:bottom w:val="single" w:color="auto" w:sz="4" w:space="1"/>
              </w:pgBorders>
              <w:pgNumType w:fmt="lowerRoman" w:start="1"/>
              <w:cols w:space="425" w:num="1"/>
              <w:docGrid w:type="lines" w:linePitch="312" w:charSpace="0"/>
            </w:sectPr>
          </w:pPr>
          <w:r>
            <w:fldChar w:fldCharType="end"/>
          </w:r>
        </w:p>
      </w:sdtContent>
    </w:sdt>
    <w:p w14:paraId="618DE83D">
      <w:pPr>
        <w:pStyle w:val="3"/>
        <w:ind w:left="425" w:hanging="425"/>
        <w:rPr>
          <w:rFonts w:hint="eastAsia"/>
        </w:rPr>
      </w:pPr>
      <w:bookmarkStart w:id="0" w:name="_Toc176101051"/>
      <w:r>
        <w:rPr>
          <w:rFonts w:hint="eastAsia"/>
        </w:rPr>
        <w:t>项目简介</w:t>
      </w:r>
      <w:bookmarkEnd w:id="0"/>
    </w:p>
    <w:p w14:paraId="08B1B922">
      <w:pPr>
        <w:pStyle w:val="4"/>
        <w:rPr>
          <w:rFonts w:hint="eastAsia"/>
        </w:rPr>
      </w:pPr>
      <w:bookmarkStart w:id="1" w:name="_Toc176101054"/>
      <w:r>
        <w:rPr>
          <w:rFonts w:hint="eastAsia"/>
        </w:rPr>
        <w:t>项目建议书编制依据</w:t>
      </w:r>
      <w:bookmarkEnd w:id="1"/>
    </w:p>
    <w:p w14:paraId="3093FF1E">
      <w:pPr>
        <w:pStyle w:val="2"/>
        <w:rPr>
          <w:rFonts w:hint="eastAsia"/>
        </w:rPr>
      </w:pPr>
      <w:r>
        <w:rPr>
          <w:rFonts w:hint="eastAsia"/>
        </w:rPr>
        <w:t>1、通过中讯邮电咨询设计院有限公司现场调查收集的资料，分别包括了信息科和相关科室人员的建议。</w:t>
      </w:r>
    </w:p>
    <w:p w14:paraId="15A797F2">
      <w:pPr>
        <w:pStyle w:val="2"/>
        <w:ind w:left="0" w:leftChars="0" w:firstLine="520" w:firstLineChars="200"/>
        <w:rPr>
          <w:rFonts w:hint="eastAsia"/>
        </w:rPr>
      </w:pPr>
      <w:r>
        <w:rPr>
          <w:rFonts w:hint="eastAsia"/>
        </w:rPr>
        <w:t>2、2024版电子病历系统应用水平分级评价标准中电子病历基础要求：</w:t>
      </w:r>
    </w:p>
    <w:p w14:paraId="088275D6">
      <w:pPr>
        <w:pStyle w:val="2"/>
        <w:ind w:firstLine="0" w:firstLineChars="0"/>
        <w:rPr>
          <w:rFonts w:hint="eastAsia"/>
        </w:rPr>
      </w:pPr>
      <w:r>
        <w:drawing>
          <wp:inline distT="0" distB="0" distL="0" distR="0">
            <wp:extent cx="5274310" cy="3601085"/>
            <wp:effectExtent l="0" t="0" r="2540" b="0"/>
            <wp:docPr id="1054725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25167" name="图片 1"/>
                    <pic:cNvPicPr>
                      <a:picLocks noChangeAspect="1"/>
                    </pic:cNvPicPr>
                  </pic:nvPicPr>
                  <pic:blipFill>
                    <a:blip r:embed="rId10"/>
                    <a:stretch>
                      <a:fillRect/>
                    </a:stretch>
                  </pic:blipFill>
                  <pic:spPr>
                    <a:xfrm>
                      <a:off x="0" y="0"/>
                      <a:ext cx="5274310" cy="3601085"/>
                    </a:xfrm>
                    <a:prstGeom prst="rect">
                      <a:avLst/>
                    </a:prstGeom>
                  </pic:spPr>
                </pic:pic>
              </a:graphicData>
            </a:graphic>
          </wp:inline>
        </w:drawing>
      </w:r>
    </w:p>
    <w:p w14:paraId="0AE29F6F">
      <w:pPr>
        <w:pStyle w:val="2"/>
        <w:ind w:firstLine="0" w:firstLineChars="0"/>
        <w:rPr>
          <w:rFonts w:hint="eastAsia"/>
        </w:rPr>
      </w:pPr>
    </w:p>
    <w:p w14:paraId="081596FF">
      <w:pPr>
        <w:ind w:firstLine="0" w:firstLineChars="0"/>
        <w:rPr>
          <w:rFonts w:hint="eastAsia"/>
        </w:rPr>
      </w:pPr>
    </w:p>
    <w:p w14:paraId="0BBA21BE">
      <w:pPr>
        <w:pStyle w:val="2"/>
        <w:rPr>
          <w:rFonts w:hint="eastAsia"/>
        </w:rPr>
        <w:sectPr>
          <w:footerReference r:id="rId6" w:type="default"/>
          <w:pgSz w:w="11906" w:h="16838"/>
          <w:pgMar w:top="1440" w:right="1800" w:bottom="1440" w:left="1800" w:header="851" w:footer="992" w:gutter="0"/>
          <w:pgBorders>
            <w:top w:val="single" w:color="auto" w:sz="4" w:space="1"/>
            <w:bottom w:val="single" w:color="auto" w:sz="4" w:space="1"/>
          </w:pgBorders>
          <w:pgNumType w:start="1"/>
          <w:cols w:space="425" w:num="1"/>
          <w:docGrid w:type="lines" w:linePitch="312" w:charSpace="0"/>
        </w:sectPr>
      </w:pPr>
    </w:p>
    <w:p w14:paraId="0386931B">
      <w:pPr>
        <w:pStyle w:val="4"/>
        <w:rPr>
          <w:rFonts w:hint="eastAsia"/>
        </w:rPr>
      </w:pPr>
      <w:bookmarkStart w:id="2" w:name="_Toc176101055"/>
      <w:r>
        <w:rPr>
          <w:rFonts w:hint="eastAsia"/>
        </w:rPr>
        <w:t>项目概况</w:t>
      </w:r>
      <w:bookmarkEnd w:id="2"/>
    </w:p>
    <w:p w14:paraId="0441D06E">
      <w:pPr>
        <w:rPr>
          <w:rFonts w:hint="eastAsia"/>
        </w:rPr>
      </w:pPr>
      <w:r>
        <w:rPr>
          <w:rFonts w:hint="eastAsia"/>
        </w:rPr>
        <w:t>医院容灾机房项目的背景主要源于对数据安全性和业务连续性的高度需求。随着信息化时代的快速发展，医院对数据的依赖程度越来越高，容灾机房作为医院重要的信息存储和处理枢纽，其可靠性和稳定性对于保障业务连续运行至关重要。然而，自然灾害、人为因素或技术故障等可能导致容灾机房发生灾难性故障，给医院正常开展业务带来较大风险。因此，医院考虑建设容灾机房项目，实现数据的实时备份和快速切换，以保障医院业务的正常和连续性，同时有效防止网络数据泄露或被窃取、篡改。</w:t>
      </w:r>
    </w:p>
    <w:p w14:paraId="5F001929">
      <w:pPr>
        <w:pStyle w:val="4"/>
        <w:rPr>
          <w:rFonts w:hint="eastAsia"/>
        </w:rPr>
      </w:pPr>
      <w:bookmarkStart w:id="3" w:name="_Toc176101056"/>
      <w:r>
        <w:rPr>
          <w:rFonts w:hint="eastAsia"/>
        </w:rPr>
        <w:t>主要结论和建议</w:t>
      </w:r>
      <w:bookmarkEnd w:id="3"/>
    </w:p>
    <w:p w14:paraId="5A26323F">
      <w:pPr>
        <w:rPr>
          <w:rFonts w:hint="eastAsia"/>
        </w:rPr>
      </w:pPr>
      <w:r>
        <w:rPr>
          <w:rFonts w:hint="eastAsia"/>
        </w:rPr>
        <w:t>结论：随着信息化建设的普及与发展，医院数据中心所面临的风险和威胁也越来越大，由于计划外系统中断造成的停机会给医院带来的经济与信誉等诸多方面的损失。在以往的信息化建设过程中，由于管理的需要，IT 资源往往走过一个从分散到集中的道路，当前信息化通常都是一个资源高度整合的系统。正是因为高度集中，一旦发生意外事故，势必造成医院业务中断，后果不堪设想。为保证 7×24 全天候运行，需要一个全面的业务连续性计划，可以提供业务高可用性、数据高可靠的双重保障。此次项目建设需要对医院进行数据中心容灾建设，构建统一、完善的数据中心容灾体系，为各类应用业务提供高可用性基础保障，保障数据的一致性和完整性。</w:t>
      </w:r>
    </w:p>
    <w:p w14:paraId="7EBA4B05">
      <w:pPr>
        <w:rPr>
          <w:rFonts w:hint="eastAsia"/>
        </w:rPr>
      </w:pPr>
      <w:r>
        <w:rPr>
          <w:rFonts w:hint="eastAsia"/>
        </w:rPr>
        <w:t>建议：为有利于该项目的顺利开展，建议及时组织相关信息化技术人员成立医院信息化项目工作小组，继续完善项目建设方案，加快项目推进步伐。并建议落实项目建设资金，继续本项目的工程设计及概算编制、招标文件编制及相关招投标工作，争取2024年底竣工验收，2025年初试运营。</w:t>
      </w:r>
    </w:p>
    <w:p w14:paraId="18BCB606">
      <w:pPr>
        <w:pStyle w:val="3"/>
        <w:rPr>
          <w:rFonts w:hint="eastAsia"/>
        </w:rPr>
      </w:pPr>
      <w:bookmarkStart w:id="4" w:name="_Toc176101057"/>
      <w:r>
        <w:rPr>
          <w:rFonts w:hint="eastAsia"/>
        </w:rPr>
        <w:t>项目建设单位概况</w:t>
      </w:r>
      <w:bookmarkEnd w:id="4"/>
    </w:p>
    <w:p w14:paraId="19EA26BC">
      <w:pPr>
        <w:pStyle w:val="4"/>
        <w:rPr>
          <w:rFonts w:hint="eastAsia"/>
        </w:rPr>
      </w:pPr>
      <w:bookmarkStart w:id="5" w:name="_Toc176101059"/>
      <w:r>
        <w:rPr>
          <w:rFonts w:hint="eastAsia"/>
        </w:rPr>
        <w:t>项目实施机构与职责</w:t>
      </w:r>
      <w:bookmarkEnd w:id="5"/>
    </w:p>
    <w:p w14:paraId="1B0C7A3F">
      <w:pPr>
        <w:pStyle w:val="5"/>
        <w:tabs>
          <w:tab w:val="left" w:pos="0"/>
          <w:tab w:val="left" w:pos="720"/>
        </w:tabs>
        <w:ind w:left="0"/>
        <w:rPr>
          <w:rFonts w:hint="eastAsia"/>
        </w:rPr>
      </w:pPr>
      <w:r>
        <w:rPr>
          <w:rFonts w:hint="eastAsia"/>
        </w:rPr>
        <w:t>信息科</w:t>
      </w:r>
    </w:p>
    <w:p w14:paraId="7454C02F">
      <w:pPr>
        <w:pStyle w:val="2"/>
        <w:rPr>
          <w:rFonts w:hint="eastAsia"/>
        </w:rPr>
      </w:pPr>
      <w:r>
        <w:rPr>
          <w:rFonts w:hint="eastAsia"/>
        </w:rPr>
        <w:t>1、制定计算机管理规程：负责计算机房的管理及计算机统一操作规程和规范的制定；</w:t>
      </w:r>
    </w:p>
    <w:p w14:paraId="15713B42">
      <w:pPr>
        <w:pStyle w:val="2"/>
        <w:rPr>
          <w:rFonts w:hint="eastAsia"/>
        </w:rPr>
      </w:pPr>
      <w:r>
        <w:rPr>
          <w:rFonts w:hint="eastAsia"/>
        </w:rPr>
        <w:t>2、组织实施硬件升级：关注计算机科学和技术的发展，提出软件和硬件升级的建议和计划，并在批准后组织实施；</w:t>
      </w:r>
    </w:p>
    <w:p w14:paraId="71E6156A">
      <w:pPr>
        <w:pStyle w:val="2"/>
        <w:rPr>
          <w:rFonts w:hint="eastAsia"/>
        </w:rPr>
      </w:pPr>
      <w:r>
        <w:rPr>
          <w:rFonts w:hint="eastAsia"/>
        </w:rPr>
        <w:t>3、调试和维护配置：负责网络工作站的硬件配置、安装和维护，负责网络计算机的正常运行；</w:t>
      </w:r>
    </w:p>
    <w:p w14:paraId="3ABEC9CA">
      <w:pPr>
        <w:pStyle w:val="2"/>
        <w:rPr>
          <w:rFonts w:hint="eastAsia"/>
        </w:rPr>
      </w:pPr>
      <w:r>
        <w:rPr>
          <w:rFonts w:hint="eastAsia"/>
        </w:rPr>
        <w:t>4、负责安全系统：负责用户软件的分配、授权、严格的密码安全系统；</w:t>
      </w:r>
    </w:p>
    <w:p w14:paraId="2ACF45F2">
      <w:pPr>
        <w:pStyle w:val="2"/>
        <w:rPr>
          <w:rFonts w:hint="eastAsia"/>
        </w:rPr>
      </w:pPr>
      <w:r>
        <w:rPr>
          <w:rFonts w:hint="eastAsia"/>
        </w:rPr>
        <w:t>5、掌握计算机原理并定期检查：掌握常用计算机部件的原理和维修方法，指导技术人员维护全院通用计算机的硬件，定期检查和维修，并回答用户的询问；</w:t>
      </w:r>
    </w:p>
    <w:p w14:paraId="7C4EDEC4">
      <w:pPr>
        <w:pStyle w:val="2"/>
        <w:rPr>
          <w:rFonts w:hint="eastAsia"/>
        </w:rPr>
      </w:pPr>
      <w:r>
        <w:rPr>
          <w:rFonts w:hint="eastAsia"/>
        </w:rPr>
        <w:t>6、协助管理设备信息：协助电脑网络中心秘书管理设备信息，包括登记、分类、储存、备份和抄录</w:t>
      </w:r>
      <w:r>
        <w:t>。</w:t>
      </w:r>
    </w:p>
    <w:p w14:paraId="30E848AF">
      <w:pPr>
        <w:pStyle w:val="3"/>
        <w:rPr>
          <w:rFonts w:hint="eastAsia"/>
        </w:rPr>
      </w:pPr>
      <w:bookmarkStart w:id="6" w:name="_Toc176101060"/>
      <w:r>
        <w:rPr>
          <w:rFonts w:hint="eastAsia"/>
        </w:rPr>
        <w:t>项目建设的必要性</w:t>
      </w:r>
      <w:bookmarkEnd w:id="6"/>
    </w:p>
    <w:p w14:paraId="16B89B24">
      <w:pPr>
        <w:pStyle w:val="4"/>
        <w:rPr>
          <w:rFonts w:hint="eastAsia"/>
        </w:rPr>
      </w:pPr>
      <w:bookmarkStart w:id="7" w:name="_Toc176101061"/>
      <w:r>
        <w:rPr>
          <w:rFonts w:hint="eastAsia"/>
        </w:rPr>
        <w:t>项目背景和依据</w:t>
      </w:r>
      <w:bookmarkEnd w:id="7"/>
    </w:p>
    <w:p w14:paraId="737EB3B1">
      <w:pPr>
        <w:pStyle w:val="2"/>
        <w:rPr>
          <w:rFonts w:hint="eastAsia"/>
        </w:rPr>
      </w:pPr>
      <w:r>
        <w:rPr>
          <w:rFonts w:hint="eastAsia"/>
        </w:rPr>
        <w:t>医院是一所集医疗、教学、科研、预防保健、卫勤保障为一体的大型综合性正规甲等医院。医院门诊量和住院人数持续上升，进一步加重了医院的负担，但凭借着医院信息人员的专业能力和内部信息化多年的建设，目前具备一定规模,随着医疗行业信息化建设多样化的背景下,各项不同种类的IT应用系统不断的加入到医院信息化建设的队伍中来，目前医院正在进行部分的国产化建设，以体检系统等业务系统为试点进行国产化的改造工作。</w:t>
      </w:r>
    </w:p>
    <w:p w14:paraId="07A6A1DF">
      <w:pPr>
        <w:pStyle w:val="2"/>
        <w:rPr>
          <w:rFonts w:hint="eastAsia"/>
        </w:rPr>
      </w:pPr>
      <w:r>
        <w:rPr>
          <w:rFonts w:hint="eastAsia"/>
        </w:rPr>
        <w:t>单位现有环境采用的是物理服务器方式，数量有10台服务器，用来运行单位所有的业务系统，现状规划的是一台服务器运行一套业务系统。 主要运行HIS、LIS等核心的业务系统，其余还有PACS等业务系统，对于医院来说，这些业务系统和数据尤为重要；根据梳理，医院目前对于数据备份保护的现状，面临如下需求：</w:t>
      </w:r>
    </w:p>
    <w:p w14:paraId="561BE385">
      <w:pPr>
        <w:pStyle w:val="2"/>
        <w:rPr>
          <w:rFonts w:hint="eastAsia"/>
        </w:rPr>
      </w:pPr>
      <w:r>
        <w:rPr>
          <w:rFonts w:hint="eastAsia"/>
        </w:rPr>
        <w:t>(1)</w:t>
      </w:r>
      <w:r>
        <w:rPr>
          <w:rFonts w:hint="eastAsia"/>
        </w:rPr>
        <w:tab/>
      </w:r>
      <w:r>
        <w:rPr>
          <w:rFonts w:hint="eastAsia"/>
        </w:rPr>
        <w:t>数据中心数据备份保护刚性需求：高可用、多负载、虚拟化等技术无法保障由逻辑错误、勒索病毒、病毒、误删除造成的业务系统中断，所以在保障业务系统连续性的同时，数据安全也更为重要。</w:t>
      </w:r>
    </w:p>
    <w:p w14:paraId="08007823">
      <w:pPr>
        <w:pStyle w:val="2"/>
        <w:rPr>
          <w:rFonts w:hint="eastAsia"/>
        </w:rPr>
      </w:pPr>
      <w:r>
        <w:rPr>
          <w:rFonts w:hint="eastAsia"/>
        </w:rPr>
        <w:t>(2)</w:t>
      </w:r>
      <w:r>
        <w:rPr>
          <w:rFonts w:hint="eastAsia"/>
        </w:rPr>
        <w:tab/>
      </w:r>
      <w:r>
        <w:rPr>
          <w:rFonts w:hint="eastAsia"/>
        </w:rPr>
        <w:t>解决自然灾害或突发事件风险需求：如地震、火灾、水灾、雷击等，发生概率低，一旦发生就是彻底灾难事故，对于数据和应用造成毁灭性的破坏，在主机房整体故障的极端情况下，需要保障数据安全。</w:t>
      </w:r>
    </w:p>
    <w:p w14:paraId="4DDC62A6">
      <w:pPr>
        <w:pStyle w:val="2"/>
        <w:rPr>
          <w:rFonts w:hint="eastAsia"/>
        </w:rPr>
      </w:pPr>
      <w:r>
        <w:rPr>
          <w:rFonts w:hint="eastAsia"/>
        </w:rPr>
        <w:t>(3)</w:t>
      </w:r>
      <w:r>
        <w:rPr>
          <w:rFonts w:hint="eastAsia"/>
        </w:rPr>
        <w:tab/>
      </w:r>
      <w:r>
        <w:rPr>
          <w:rFonts w:hint="eastAsia"/>
        </w:rPr>
        <w:t>响应国家国产化建设需求：信息化应用创新发展是当前的国家战略，国产化是大势所趋，在进行信息系统环境进行国产化建设的同时，备份容灾平台也需要进行全面国产化。</w:t>
      </w:r>
    </w:p>
    <w:p w14:paraId="195C6D5E">
      <w:pPr>
        <w:pStyle w:val="2"/>
        <w:rPr>
          <w:rFonts w:hint="eastAsia"/>
        </w:rPr>
      </w:pPr>
      <w:r>
        <w:rPr>
          <w:rFonts w:hint="eastAsia"/>
        </w:rPr>
        <w:t>(4)制定应急制度及措施需求：缺乏对数据安全备份、恢复、应急事件处理等工作的规范和规章制度，紧急事件应急响应预案缺乏演练，面对紧急事件时缺乏经验；。功能性能指标达到预定目标要求情况。</w:t>
      </w:r>
    </w:p>
    <w:p w14:paraId="41986745">
      <w:pPr>
        <w:pStyle w:val="2"/>
        <w:rPr>
          <w:rFonts w:hint="eastAsia"/>
        </w:rPr>
      </w:pPr>
      <w:r>
        <w:rPr>
          <w:rFonts w:hint="eastAsia"/>
        </w:rPr>
        <w:t>容灾能力建设是《中华人民共和国网络安全法》下应急预案制度的重要组成部分。容灾能力建设是《中华人民共和国数据安全法》下数据处理者的法定义务。容灾能力建设是最大程度减轻勒索病毒攻击造成损失的重要手段。</w:t>
      </w:r>
    </w:p>
    <w:p w14:paraId="7A219BBE">
      <w:pPr>
        <w:pStyle w:val="4"/>
        <w:rPr>
          <w:rFonts w:hint="eastAsia"/>
        </w:rPr>
      </w:pPr>
      <w:bookmarkStart w:id="8" w:name="_Toc176101062"/>
      <w:r>
        <w:rPr>
          <w:rFonts w:hint="eastAsia"/>
        </w:rPr>
        <w:t>容灾机房（信息科机房）建设标准</w:t>
      </w:r>
      <w:bookmarkEnd w:id="8"/>
    </w:p>
    <w:p w14:paraId="1FD871C5">
      <w:pPr>
        <w:pStyle w:val="2"/>
        <w:rPr>
          <w:rFonts w:hint="eastAsia"/>
        </w:rPr>
      </w:pPr>
      <w:r>
        <w:rPr>
          <w:rFonts w:hint="eastAsia"/>
        </w:rPr>
        <w:t>本项目的设备选型及设计规划按照以下标准执行：</w:t>
      </w:r>
    </w:p>
    <w:p w14:paraId="27B2B6D4">
      <w:pPr>
        <w:pStyle w:val="2"/>
        <w:rPr>
          <w:rFonts w:hint="eastAsia"/>
        </w:rPr>
      </w:pPr>
      <w:r>
        <w:rPr>
          <w:rFonts w:hint="eastAsia"/>
        </w:rPr>
        <w:t>《电子计算机房设计规范》</w:t>
      </w:r>
      <w:r>
        <w:rPr>
          <w:rFonts w:hint="eastAsia"/>
        </w:rPr>
        <w:tab/>
      </w:r>
      <w:r>
        <w:rPr>
          <w:rFonts w:hint="eastAsia"/>
        </w:rPr>
        <w:t>GB50174-93</w:t>
      </w:r>
    </w:p>
    <w:p w14:paraId="53B2CF5F">
      <w:pPr>
        <w:pStyle w:val="2"/>
        <w:rPr>
          <w:rFonts w:hint="eastAsia"/>
        </w:rPr>
      </w:pPr>
      <w:r>
        <w:rPr>
          <w:rFonts w:hint="eastAsia"/>
        </w:rPr>
        <w:t>《智能建筑设计标准》</w:t>
      </w:r>
      <w:r>
        <w:rPr>
          <w:rFonts w:hint="eastAsia"/>
        </w:rPr>
        <w:tab/>
      </w:r>
      <w:r>
        <w:rPr>
          <w:rFonts w:hint="eastAsia"/>
        </w:rPr>
        <w:t>GB/T50314-2000</w:t>
      </w:r>
    </w:p>
    <w:p w14:paraId="69FE5C3B">
      <w:pPr>
        <w:pStyle w:val="2"/>
        <w:rPr>
          <w:rFonts w:hint="eastAsia"/>
        </w:rPr>
      </w:pPr>
      <w:r>
        <w:rPr>
          <w:rFonts w:hint="eastAsia"/>
        </w:rPr>
        <w:t>《民用建筑电气设计规范》</w:t>
      </w:r>
      <w:r>
        <w:rPr>
          <w:rFonts w:hint="eastAsia"/>
        </w:rPr>
        <w:tab/>
      </w:r>
      <w:r>
        <w:rPr>
          <w:rFonts w:hint="eastAsia"/>
        </w:rPr>
        <w:t>JGJ/T16-92</w:t>
      </w:r>
    </w:p>
    <w:p w14:paraId="685A493B">
      <w:pPr>
        <w:pStyle w:val="2"/>
        <w:rPr>
          <w:rFonts w:hint="eastAsia"/>
        </w:rPr>
      </w:pPr>
      <w:r>
        <w:rPr>
          <w:rFonts w:hint="eastAsia"/>
        </w:rPr>
        <w:t>《电子计算机房设计规范》</w:t>
      </w:r>
      <w:r>
        <w:rPr>
          <w:rFonts w:hint="eastAsia"/>
        </w:rPr>
        <w:tab/>
      </w:r>
      <w:r>
        <w:rPr>
          <w:rFonts w:hint="eastAsia"/>
        </w:rPr>
        <w:t>GB50174-93</w:t>
      </w:r>
    </w:p>
    <w:p w14:paraId="4F5A3C88">
      <w:pPr>
        <w:pStyle w:val="2"/>
        <w:rPr>
          <w:rFonts w:hint="eastAsia"/>
        </w:rPr>
      </w:pPr>
      <w:r>
        <w:rPr>
          <w:rFonts w:hint="eastAsia"/>
        </w:rPr>
        <w:t>《民用闭路监视电视系统工程技术规范》</w:t>
      </w:r>
      <w:r>
        <w:rPr>
          <w:rFonts w:hint="eastAsia"/>
        </w:rPr>
        <w:tab/>
      </w:r>
      <w:r>
        <w:rPr>
          <w:rFonts w:hint="eastAsia"/>
        </w:rPr>
        <w:t>GB50198-94</w:t>
      </w:r>
    </w:p>
    <w:p w14:paraId="2329BB62">
      <w:pPr>
        <w:pStyle w:val="2"/>
        <w:rPr>
          <w:rFonts w:hint="eastAsia"/>
        </w:rPr>
      </w:pPr>
      <w:r>
        <w:rPr>
          <w:rFonts w:hint="eastAsia"/>
        </w:rPr>
        <w:t>《有线电视系统工程技术规范》</w:t>
      </w:r>
      <w:r>
        <w:rPr>
          <w:rFonts w:hint="eastAsia"/>
        </w:rPr>
        <w:tab/>
      </w:r>
      <w:r>
        <w:rPr>
          <w:rFonts w:hint="eastAsia"/>
        </w:rPr>
        <w:t>GB50200-94</w:t>
      </w:r>
    </w:p>
    <w:p w14:paraId="5192B4EB">
      <w:pPr>
        <w:pStyle w:val="2"/>
        <w:rPr>
          <w:rFonts w:hint="eastAsia"/>
        </w:rPr>
      </w:pPr>
      <w:r>
        <w:rPr>
          <w:rFonts w:hint="eastAsia"/>
        </w:rPr>
        <w:t>《火灾自动报警系统施工和验收规范》</w:t>
      </w:r>
      <w:r>
        <w:rPr>
          <w:rFonts w:hint="eastAsia"/>
        </w:rPr>
        <w:tab/>
      </w:r>
      <w:r>
        <w:rPr>
          <w:rFonts w:hint="eastAsia"/>
        </w:rPr>
        <w:t>GB50166-92</w:t>
      </w:r>
    </w:p>
    <w:p w14:paraId="1C3AE6C3">
      <w:pPr>
        <w:pStyle w:val="2"/>
        <w:rPr>
          <w:rFonts w:hint="eastAsia"/>
        </w:rPr>
      </w:pPr>
      <w:r>
        <w:rPr>
          <w:rFonts w:hint="eastAsia"/>
        </w:rPr>
        <w:t>《火灾自动报警系统设计规范》</w:t>
      </w:r>
      <w:r>
        <w:rPr>
          <w:rFonts w:hint="eastAsia"/>
        </w:rPr>
        <w:tab/>
      </w:r>
      <w:r>
        <w:rPr>
          <w:rFonts w:hint="eastAsia"/>
        </w:rPr>
        <w:t>GBJ50116-98</w:t>
      </w:r>
    </w:p>
    <w:p w14:paraId="7A145FA7">
      <w:pPr>
        <w:pStyle w:val="2"/>
        <w:rPr>
          <w:rFonts w:hint="eastAsia"/>
        </w:rPr>
      </w:pPr>
      <w:r>
        <w:rPr>
          <w:rFonts w:hint="eastAsia"/>
        </w:rPr>
        <w:t>《大楼通信综合布线系统》</w:t>
      </w:r>
      <w:r>
        <w:rPr>
          <w:rFonts w:hint="eastAsia"/>
        </w:rPr>
        <w:tab/>
      </w:r>
      <w:r>
        <w:rPr>
          <w:rFonts w:hint="eastAsia"/>
        </w:rPr>
        <w:t>YD/T926.1-1997</w:t>
      </w:r>
    </w:p>
    <w:p w14:paraId="61807434">
      <w:pPr>
        <w:pStyle w:val="2"/>
        <w:rPr>
          <w:rFonts w:hint="eastAsia"/>
        </w:rPr>
      </w:pPr>
      <w:r>
        <w:rPr>
          <w:rFonts w:hint="eastAsia"/>
        </w:rPr>
        <w:t>《建筑与建筑群综合布线系统工程设计规范》</w:t>
      </w:r>
      <w:r>
        <w:rPr>
          <w:rFonts w:hint="eastAsia"/>
        </w:rPr>
        <w:tab/>
      </w:r>
      <w:r>
        <w:rPr>
          <w:rFonts w:hint="eastAsia"/>
        </w:rPr>
        <w:t>GB50311-2000</w:t>
      </w:r>
    </w:p>
    <w:p w14:paraId="0EEE2BA9">
      <w:pPr>
        <w:pStyle w:val="2"/>
        <w:rPr>
          <w:rFonts w:hint="eastAsia"/>
        </w:rPr>
      </w:pPr>
      <w:r>
        <w:rPr>
          <w:rFonts w:hint="eastAsia"/>
        </w:rPr>
        <w:t>《建筑与建筑群综合布线系统工程验收规范》</w:t>
      </w:r>
      <w:r>
        <w:rPr>
          <w:rFonts w:hint="eastAsia"/>
        </w:rPr>
        <w:tab/>
      </w:r>
      <w:r>
        <w:rPr>
          <w:rFonts w:hint="eastAsia"/>
        </w:rPr>
        <w:t>GB50312-2000</w:t>
      </w:r>
    </w:p>
    <w:p w14:paraId="102E67EE">
      <w:pPr>
        <w:pStyle w:val="2"/>
        <w:rPr>
          <w:rFonts w:hint="eastAsia"/>
        </w:rPr>
      </w:pPr>
      <w:r>
        <w:rPr>
          <w:rFonts w:hint="eastAsia"/>
        </w:rPr>
        <w:t>《安全防范工程程序与要求》</w:t>
      </w:r>
      <w:r>
        <w:rPr>
          <w:rFonts w:hint="eastAsia"/>
        </w:rPr>
        <w:tab/>
      </w:r>
      <w:r>
        <w:rPr>
          <w:rFonts w:hint="eastAsia"/>
        </w:rPr>
        <w:t>GA/T75-94</w:t>
      </w:r>
    </w:p>
    <w:p w14:paraId="11EE116B">
      <w:pPr>
        <w:pStyle w:val="2"/>
        <w:rPr>
          <w:rFonts w:hint="eastAsia"/>
        </w:rPr>
      </w:pPr>
      <w:r>
        <w:rPr>
          <w:rFonts w:hint="eastAsia"/>
        </w:rPr>
        <w:t>《安全防范系统通用图形符号》</w:t>
      </w:r>
      <w:r>
        <w:rPr>
          <w:rFonts w:hint="eastAsia"/>
        </w:rPr>
        <w:tab/>
      </w:r>
      <w:r>
        <w:rPr>
          <w:rFonts w:hint="eastAsia"/>
        </w:rPr>
        <w:t>GA/T74-94</w:t>
      </w:r>
    </w:p>
    <w:p w14:paraId="679EB7E8">
      <w:pPr>
        <w:pStyle w:val="2"/>
        <w:rPr>
          <w:rFonts w:hint="eastAsia"/>
        </w:rPr>
      </w:pPr>
      <w:r>
        <w:rPr>
          <w:rFonts w:hint="eastAsia"/>
        </w:rPr>
        <w:t>《物业管理IS09002》</w:t>
      </w:r>
      <w:r>
        <w:rPr>
          <w:rFonts w:hint="eastAsia"/>
        </w:rPr>
        <w:tab/>
      </w:r>
      <w:r>
        <w:rPr>
          <w:rFonts w:hint="eastAsia"/>
        </w:rPr>
        <w:t>GB/T19002-1994；</w:t>
      </w:r>
    </w:p>
    <w:p w14:paraId="738F9C33">
      <w:pPr>
        <w:pStyle w:val="2"/>
        <w:rPr>
          <w:rFonts w:hint="eastAsia"/>
        </w:rPr>
      </w:pPr>
      <w:r>
        <w:rPr>
          <w:rFonts w:hint="eastAsia"/>
        </w:rPr>
        <w:t>《电气装置安装工程电缆线路施工及验收规范》</w:t>
      </w:r>
      <w:r>
        <w:rPr>
          <w:rFonts w:hint="eastAsia"/>
        </w:rPr>
        <w:tab/>
      </w:r>
      <w:r>
        <w:rPr>
          <w:rFonts w:hint="eastAsia"/>
        </w:rPr>
        <w:t>GB50168-92；</w:t>
      </w:r>
    </w:p>
    <w:p w14:paraId="3A2E3ABB">
      <w:pPr>
        <w:pStyle w:val="2"/>
        <w:rPr>
          <w:rFonts w:hint="eastAsia"/>
        </w:rPr>
      </w:pPr>
      <w:r>
        <w:rPr>
          <w:rFonts w:hint="eastAsia"/>
        </w:rPr>
        <w:t>《电气装置安装工程接地装置施工及验收规范》</w:t>
      </w:r>
      <w:r>
        <w:rPr>
          <w:rFonts w:hint="eastAsia"/>
        </w:rPr>
        <w:tab/>
      </w:r>
      <w:r>
        <w:rPr>
          <w:rFonts w:hint="eastAsia"/>
        </w:rPr>
        <w:t>GB50169-92；</w:t>
      </w:r>
    </w:p>
    <w:p w14:paraId="0545E3E1">
      <w:pPr>
        <w:pStyle w:val="2"/>
        <w:rPr>
          <w:rFonts w:hint="eastAsia"/>
        </w:rPr>
      </w:pPr>
      <w:r>
        <w:rPr>
          <w:rFonts w:hint="eastAsia"/>
        </w:rPr>
        <w:t>《电气装置安装工程盘、柜及二次回路结线施工及验收规范》</w:t>
      </w:r>
      <w:r>
        <w:rPr>
          <w:rFonts w:hint="eastAsia"/>
        </w:rPr>
        <w:tab/>
      </w:r>
      <w:r>
        <w:rPr>
          <w:rFonts w:hint="eastAsia"/>
        </w:rPr>
        <w:t>GB50171-92；</w:t>
      </w:r>
    </w:p>
    <w:p w14:paraId="2025030A">
      <w:pPr>
        <w:pStyle w:val="2"/>
        <w:rPr>
          <w:rFonts w:hint="eastAsia"/>
        </w:rPr>
      </w:pPr>
      <w:r>
        <w:rPr>
          <w:rFonts w:hint="eastAsia"/>
        </w:rPr>
        <w:t>《电气装置安装工程蓄电池施工及验收规范》</w:t>
      </w:r>
      <w:r>
        <w:rPr>
          <w:rFonts w:hint="eastAsia"/>
        </w:rPr>
        <w:tab/>
      </w:r>
      <w:r>
        <w:rPr>
          <w:rFonts w:hint="eastAsia"/>
        </w:rPr>
        <w:t>GB50172-92；</w:t>
      </w:r>
    </w:p>
    <w:p w14:paraId="09FAB55D">
      <w:pPr>
        <w:pStyle w:val="2"/>
        <w:rPr>
          <w:rFonts w:hint="eastAsia"/>
        </w:rPr>
      </w:pPr>
      <w:r>
        <w:rPr>
          <w:rFonts w:hint="eastAsia"/>
        </w:rPr>
        <w:t>《电气装置安装工程电气照明装置施工及验收规范》</w:t>
      </w:r>
      <w:r>
        <w:rPr>
          <w:rFonts w:hint="eastAsia"/>
        </w:rPr>
        <w:tab/>
      </w:r>
      <w:r>
        <w:rPr>
          <w:rFonts w:hint="eastAsia"/>
        </w:rPr>
        <w:t>GB50259-92；</w:t>
      </w:r>
    </w:p>
    <w:p w14:paraId="39C4189B">
      <w:pPr>
        <w:pStyle w:val="2"/>
        <w:rPr>
          <w:rFonts w:hint="eastAsia"/>
        </w:rPr>
      </w:pPr>
      <w:r>
        <w:rPr>
          <w:rFonts w:hint="eastAsia"/>
        </w:rPr>
        <w:t>《低压成套开关设备验收规范》</w:t>
      </w:r>
      <w:r>
        <w:rPr>
          <w:rFonts w:hint="eastAsia"/>
        </w:rPr>
        <w:tab/>
      </w:r>
      <w:r>
        <w:rPr>
          <w:rFonts w:hint="eastAsia"/>
        </w:rPr>
        <w:t>CECS49：93；</w:t>
      </w:r>
    </w:p>
    <w:p w14:paraId="53B62F01">
      <w:pPr>
        <w:pStyle w:val="2"/>
        <w:rPr>
          <w:rFonts w:hint="eastAsia"/>
        </w:rPr>
      </w:pPr>
      <w:r>
        <w:rPr>
          <w:rFonts w:hint="eastAsia"/>
        </w:rPr>
        <w:t>《套接紧定式钢导管电线管路施工及验收规范》</w:t>
      </w:r>
      <w:r>
        <w:rPr>
          <w:rFonts w:hint="eastAsia"/>
        </w:rPr>
        <w:tab/>
      </w:r>
      <w:r>
        <w:rPr>
          <w:rFonts w:hint="eastAsia"/>
        </w:rPr>
        <w:t>CECS120：2000；</w:t>
      </w:r>
    </w:p>
    <w:p w14:paraId="705C63BF">
      <w:pPr>
        <w:pStyle w:val="2"/>
        <w:rPr>
          <w:rFonts w:hint="eastAsia"/>
        </w:rPr>
      </w:pPr>
      <w:r>
        <w:rPr>
          <w:rFonts w:hint="eastAsia"/>
        </w:rPr>
        <w:t>《计算站场地技术要求》</w:t>
      </w:r>
      <w:r>
        <w:rPr>
          <w:rFonts w:hint="eastAsia"/>
        </w:rPr>
        <w:tab/>
      </w:r>
      <w:r>
        <w:rPr>
          <w:rFonts w:hint="eastAsia"/>
        </w:rPr>
        <w:t>GB2887-89</w:t>
      </w:r>
    </w:p>
    <w:p w14:paraId="75459A02">
      <w:pPr>
        <w:pStyle w:val="2"/>
        <w:rPr>
          <w:rFonts w:hint="eastAsia"/>
        </w:rPr>
      </w:pPr>
      <w:r>
        <w:rPr>
          <w:rFonts w:hint="eastAsia"/>
        </w:rPr>
        <w:t>《计算站场地安全要求》</w:t>
      </w:r>
      <w:r>
        <w:rPr>
          <w:rFonts w:hint="eastAsia"/>
        </w:rPr>
        <w:tab/>
      </w:r>
      <w:r>
        <w:rPr>
          <w:rFonts w:hint="eastAsia"/>
        </w:rPr>
        <w:t>GB9361-88</w:t>
      </w:r>
    </w:p>
    <w:p w14:paraId="1A00B901">
      <w:pPr>
        <w:pStyle w:val="2"/>
        <w:rPr>
          <w:rFonts w:hint="eastAsia"/>
        </w:rPr>
      </w:pPr>
      <w:r>
        <w:rPr>
          <w:rFonts w:hint="eastAsia"/>
        </w:rPr>
        <w:t>《计算机房活动地板技术条件》</w:t>
      </w:r>
      <w:r>
        <w:rPr>
          <w:rFonts w:hint="eastAsia"/>
        </w:rPr>
        <w:tab/>
      </w:r>
      <w:r>
        <w:rPr>
          <w:rFonts w:hint="eastAsia"/>
        </w:rPr>
        <w:t>GB6650</w:t>
      </w:r>
    </w:p>
    <w:p w14:paraId="64128A80">
      <w:pPr>
        <w:pStyle w:val="2"/>
        <w:rPr>
          <w:rFonts w:hint="eastAsia"/>
        </w:rPr>
      </w:pPr>
      <w:r>
        <w:rPr>
          <w:rFonts w:hint="eastAsia"/>
        </w:rPr>
        <w:t>《通风与空调工程施工与验收规范》</w:t>
      </w:r>
      <w:r>
        <w:rPr>
          <w:rFonts w:hint="eastAsia"/>
        </w:rPr>
        <w:tab/>
      </w:r>
      <w:r>
        <w:rPr>
          <w:rFonts w:hint="eastAsia"/>
        </w:rPr>
        <w:t>GB50243-97</w:t>
      </w:r>
    </w:p>
    <w:p w14:paraId="11C07E4E">
      <w:pPr>
        <w:pStyle w:val="2"/>
        <w:rPr>
          <w:rFonts w:hint="eastAsia"/>
        </w:rPr>
      </w:pPr>
      <w:r>
        <w:rPr>
          <w:rFonts w:hint="eastAsia"/>
        </w:rPr>
        <w:t>《电气装置安装施工及验收规范》</w:t>
      </w:r>
      <w:r>
        <w:rPr>
          <w:rFonts w:hint="eastAsia"/>
        </w:rPr>
        <w:tab/>
      </w:r>
      <w:r>
        <w:rPr>
          <w:rFonts w:hint="eastAsia"/>
        </w:rPr>
        <w:t>GBJ232-9092</w:t>
      </w:r>
    </w:p>
    <w:p w14:paraId="0232363F">
      <w:pPr>
        <w:pStyle w:val="2"/>
        <w:rPr>
          <w:rFonts w:hint="eastAsia"/>
        </w:rPr>
      </w:pPr>
      <w:r>
        <w:rPr>
          <w:rFonts w:hint="eastAsia"/>
        </w:rPr>
        <w:t>《低压配电设计规范》</w:t>
      </w:r>
      <w:r>
        <w:rPr>
          <w:rFonts w:hint="eastAsia"/>
        </w:rPr>
        <w:tab/>
      </w:r>
      <w:r>
        <w:rPr>
          <w:rFonts w:hint="eastAsia"/>
        </w:rPr>
        <w:t>GB50054-95</w:t>
      </w:r>
    </w:p>
    <w:p w14:paraId="4119BC28">
      <w:pPr>
        <w:pStyle w:val="2"/>
        <w:rPr>
          <w:rFonts w:hint="eastAsia"/>
        </w:rPr>
      </w:pPr>
      <w:r>
        <w:rPr>
          <w:rFonts w:hint="eastAsia"/>
        </w:rPr>
        <w:t>《建筑物防雷设计规范》</w:t>
      </w:r>
      <w:r>
        <w:rPr>
          <w:rFonts w:hint="eastAsia"/>
        </w:rPr>
        <w:tab/>
      </w:r>
      <w:r>
        <w:rPr>
          <w:rFonts w:hint="eastAsia"/>
        </w:rPr>
        <w:t>GB50057-94（2000年版）</w:t>
      </w:r>
    </w:p>
    <w:p w14:paraId="44739DB4">
      <w:pPr>
        <w:pStyle w:val="2"/>
        <w:rPr>
          <w:rFonts w:hint="eastAsia"/>
        </w:rPr>
      </w:pPr>
      <w:r>
        <w:rPr>
          <w:rFonts w:hint="eastAsia"/>
        </w:rPr>
        <w:t>《高层民用建筑设计防火规范》</w:t>
      </w:r>
      <w:r>
        <w:rPr>
          <w:rFonts w:hint="eastAsia"/>
        </w:rPr>
        <w:tab/>
      </w:r>
      <w:r>
        <w:rPr>
          <w:rFonts w:hint="eastAsia"/>
        </w:rPr>
        <w:t>GB50045-95（2001年版）</w:t>
      </w:r>
    </w:p>
    <w:p w14:paraId="4207AB63">
      <w:pPr>
        <w:pStyle w:val="2"/>
        <w:rPr>
          <w:rFonts w:hint="eastAsia"/>
        </w:rPr>
      </w:pPr>
      <w:r>
        <w:rPr>
          <w:rFonts w:hint="eastAsia"/>
        </w:rPr>
        <w:t>《建筑内部装修设计防火规范》</w:t>
      </w:r>
      <w:r>
        <w:rPr>
          <w:rFonts w:hint="eastAsia"/>
        </w:rPr>
        <w:tab/>
      </w:r>
      <w:r>
        <w:rPr>
          <w:rFonts w:hint="eastAsia"/>
        </w:rPr>
        <w:t>GB50222-95（公告22.29）</w:t>
      </w:r>
    </w:p>
    <w:p w14:paraId="037CC656">
      <w:pPr>
        <w:pStyle w:val="2"/>
        <w:rPr>
          <w:rFonts w:hint="eastAsia"/>
        </w:rPr>
      </w:pPr>
      <w:r>
        <w:rPr>
          <w:rFonts w:hint="eastAsia"/>
        </w:rPr>
        <w:t>《建筑设计防火规范》</w:t>
      </w:r>
      <w:r>
        <w:rPr>
          <w:rFonts w:hint="eastAsia"/>
        </w:rPr>
        <w:tab/>
      </w:r>
      <w:r>
        <w:rPr>
          <w:rFonts w:hint="eastAsia"/>
        </w:rPr>
        <w:t>GB16-87（2001年版）</w:t>
      </w:r>
    </w:p>
    <w:p w14:paraId="631244CB">
      <w:pPr>
        <w:pStyle w:val="2"/>
        <w:rPr>
          <w:rFonts w:hint="eastAsia"/>
        </w:rPr>
      </w:pPr>
      <w:r>
        <w:rPr>
          <w:rFonts w:hint="eastAsia"/>
        </w:rPr>
        <w:t>《电子计算机机房施工及验收规范》</w:t>
      </w:r>
      <w:r>
        <w:rPr>
          <w:rFonts w:hint="eastAsia"/>
        </w:rPr>
        <w:tab/>
      </w:r>
      <w:r>
        <w:rPr>
          <w:rFonts w:hint="eastAsia"/>
        </w:rPr>
        <w:t>SJ/T30003-93</w:t>
      </w:r>
    </w:p>
    <w:p w14:paraId="1B761F4B">
      <w:pPr>
        <w:pStyle w:val="2"/>
        <w:rPr>
          <w:rFonts w:hint="eastAsia"/>
        </w:rPr>
      </w:pPr>
      <w:r>
        <w:rPr>
          <w:rFonts w:hint="eastAsia"/>
        </w:rPr>
        <w:t>《涉及国家秘密的计算机信息系统安全保密方案设计指南》其他相关规范</w:t>
      </w:r>
      <w:r>
        <w:rPr>
          <w:rFonts w:hint="eastAsia"/>
        </w:rPr>
        <w:tab/>
      </w:r>
      <w:r>
        <w:rPr>
          <w:rFonts w:hint="eastAsia"/>
        </w:rPr>
        <w:t>。</w:t>
      </w:r>
    </w:p>
    <w:p w14:paraId="09C05D14">
      <w:pPr>
        <w:pStyle w:val="4"/>
        <w:rPr>
          <w:rFonts w:hint="eastAsia"/>
        </w:rPr>
      </w:pPr>
      <w:bookmarkStart w:id="9" w:name="_Toc176101063"/>
      <w:r>
        <w:rPr>
          <w:rFonts w:hint="eastAsia"/>
        </w:rPr>
        <w:t>现有容灾机房（信息科机房）信息化应用状况</w:t>
      </w:r>
      <w:bookmarkEnd w:id="9"/>
    </w:p>
    <w:p w14:paraId="46CB8C74">
      <w:pPr>
        <w:rPr>
          <w:rFonts w:hint="eastAsia"/>
        </w:rPr>
      </w:pPr>
      <w:r>
        <w:rPr>
          <w:rFonts w:ascii="Times New Roman" w:hAnsi="Times New Roman"/>
        </w:rPr>
        <w:t>‌</w:t>
      </w:r>
      <w:r>
        <w:rPr>
          <w:rFonts w:hint="eastAsia"/>
        </w:rPr>
        <w:t>容灾机房应用现状</w:t>
      </w:r>
      <w:r>
        <w:rPr>
          <w:rFonts w:hint="eastAsia" w:ascii="仿宋" w:hAnsi="仿宋" w:cs="仿宋"/>
        </w:rPr>
        <w:t>体现了医院在保障业务连续性和数据安全方面的努力，但同时也暴露出一些挑战和改进空间。</w:t>
      </w:r>
    </w:p>
    <w:p w14:paraId="5458EF32">
      <w:pPr>
        <w:rPr>
          <w:rFonts w:hint="eastAsia"/>
        </w:rPr>
      </w:pPr>
      <w:r>
        <w:rPr>
          <w:rFonts w:hint="eastAsia"/>
        </w:rPr>
        <w:t>容灾机房，作为</w:t>
      </w:r>
      <w:r>
        <w:t>IT系统高可用性技术的一部分，通过在相隔较远的异地建立两套或多套功能相同的IT系统，实现健康状态监视和功能切换，确保在主系统因灾难停止工作时，整个应用系统可以切换到备用系统，保持功能正常运行。这种技术强调处理外界环境对系统的影响，特别是灾难性事件对整个IT节点的影响，提供节点级别的系统恢复功能</w:t>
      </w:r>
      <w:r>
        <w:rPr>
          <w:rFonts w:ascii="Times New Roman" w:hAnsi="Times New Roman"/>
        </w:rPr>
        <w:t>‌</w:t>
      </w:r>
      <w:r>
        <w:t>。</w:t>
      </w:r>
    </w:p>
    <w:p w14:paraId="1AEA857A">
      <w:pPr>
        <w:rPr>
          <w:rFonts w:hint="eastAsia"/>
        </w:rPr>
      </w:pPr>
      <w:r>
        <w:rPr>
          <w:rFonts w:hint="eastAsia"/>
        </w:rPr>
        <w:t>然而，尽管医院对容灾的认识和投入在增加，业务连续性这一难题仍未得到彻底有效的解决。例如，国内某云服务商的云服务异常事件，暴露出即使在医院安全意识和保障技术持续优化的背景下，业务连续性问题的解决仍然面临挑战</w:t>
      </w:r>
      <w:r>
        <w:t>。此外，</w:t>
      </w:r>
      <w:r>
        <w:rPr>
          <w:rFonts w:hint="eastAsia"/>
        </w:rPr>
        <w:t>医院</w:t>
      </w:r>
      <w:r>
        <w:t>信息化</w:t>
      </w:r>
      <w:r>
        <w:rPr>
          <w:rFonts w:hint="eastAsia"/>
        </w:rPr>
        <w:t>容灾</w:t>
      </w:r>
      <w:r>
        <w:t>建设的概况显示，大部分</w:t>
      </w:r>
      <w:r>
        <w:rPr>
          <w:rFonts w:hint="eastAsia"/>
        </w:rPr>
        <w:t>医院</w:t>
      </w:r>
      <w:r>
        <w:t>采用了同楼</w:t>
      </w:r>
      <w:r>
        <w:rPr>
          <w:rFonts w:hint="eastAsia"/>
        </w:rPr>
        <w:t>容灾</w:t>
      </w:r>
      <w:r>
        <w:t>方式，而采用异</w:t>
      </w:r>
      <w:r>
        <w:rPr>
          <w:rFonts w:hint="eastAsia"/>
        </w:rPr>
        <w:t>楼容灾</w:t>
      </w:r>
      <w:r>
        <w:t>方式的</w:t>
      </w:r>
      <w:r>
        <w:rPr>
          <w:rFonts w:hint="eastAsia"/>
        </w:rPr>
        <w:t>医院</w:t>
      </w:r>
      <w:r>
        <w:t>比例较低，显示出</w:t>
      </w:r>
      <w:r>
        <w:rPr>
          <w:rFonts w:hint="eastAsia"/>
        </w:rPr>
        <w:t>容灾</w:t>
      </w:r>
      <w:r>
        <w:t>建设的总体比例仍然偏低，且存在较大的提升空间</w:t>
      </w:r>
      <w:r>
        <w:rPr>
          <w:rFonts w:ascii="Times New Roman" w:hAnsi="Times New Roman"/>
        </w:rPr>
        <w:t>‌</w:t>
      </w:r>
      <w:r>
        <w:t>。</w:t>
      </w:r>
    </w:p>
    <w:p w14:paraId="2A5F9717">
      <w:pPr>
        <w:rPr>
          <w:rFonts w:hint="eastAsia"/>
        </w:rPr>
      </w:pPr>
      <w:r>
        <w:rPr>
          <w:rFonts w:hint="eastAsia"/>
        </w:rPr>
        <w:t>在国际比较中，我国的综合容灾覆盖率与欧美等国相比存在较大差距。例如，我国的综合容灾覆盖率为</w:t>
      </w:r>
      <w:r>
        <w:t>34%左右，而欧美超过80%</w:t>
      </w:r>
      <w:r>
        <w:rPr>
          <w:rFonts w:ascii="Times New Roman" w:hAnsi="Times New Roman"/>
        </w:rPr>
        <w:t>‌</w:t>
      </w:r>
      <w:r>
        <w:t>2。这表明，尽管国家层面在推进现代化产业体系和提升数据要素及安全的重要性，但</w:t>
      </w:r>
      <w:r>
        <w:rPr>
          <w:rFonts w:hint="eastAsia"/>
        </w:rPr>
        <w:t>容灾</w:t>
      </w:r>
      <w:r>
        <w:t>系统的建设和运维运营仍然面临诸多挑战，需要进一步的技术创新和政策支持来提升</w:t>
      </w:r>
      <w:r>
        <w:rPr>
          <w:rFonts w:hint="eastAsia"/>
        </w:rPr>
        <w:t>容灾</w:t>
      </w:r>
      <w:r>
        <w:t>覆盖率和技术水平</w:t>
      </w:r>
      <w:r>
        <w:rPr>
          <w:rFonts w:ascii="Times New Roman" w:hAnsi="Times New Roman"/>
        </w:rPr>
        <w:t>‌</w:t>
      </w:r>
      <w:r>
        <w:t>。</w:t>
      </w:r>
    </w:p>
    <w:p w14:paraId="24658590">
      <w:pPr>
        <w:rPr>
          <w:rFonts w:hint="eastAsia"/>
        </w:rPr>
      </w:pPr>
      <w:r>
        <w:rPr>
          <w:rFonts w:hint="eastAsia"/>
        </w:rPr>
        <w:t>综上所述，容灾机房的应用现状体现了医院在保障业务连续性和数据安全方面的努力，但同时也暴露出一些挑战和改进空间。未来的发展需要更多的技术创新和政策支持，以提高容灾系统的覆盖率和有效性，确保无论何时何地都能提供最佳的业务连续性体验</w:t>
      </w:r>
      <w:r>
        <w:rPr>
          <w:rFonts w:ascii="Courier New" w:hAnsi="Courier New" w:cs="Courier New"/>
        </w:rPr>
        <w:t>‌</w:t>
      </w:r>
      <w:r>
        <w:t>。</w:t>
      </w:r>
    </w:p>
    <w:p w14:paraId="4C9CF261">
      <w:pPr>
        <w:pStyle w:val="4"/>
        <w:rPr>
          <w:rFonts w:hint="eastAsia"/>
        </w:rPr>
      </w:pPr>
      <w:bookmarkStart w:id="10" w:name="_Toc176101064"/>
      <w:r>
        <w:rPr>
          <w:rFonts w:hint="eastAsia"/>
        </w:rPr>
        <w:t>项目建设的意义和必要性</w:t>
      </w:r>
      <w:bookmarkEnd w:id="10"/>
    </w:p>
    <w:p w14:paraId="0B9DE33C">
      <w:pPr>
        <w:pStyle w:val="2"/>
        <w:rPr>
          <w:rFonts w:hint="eastAsia"/>
        </w:rPr>
      </w:pPr>
      <w:r>
        <w:rPr>
          <w:rFonts w:hint="eastAsia"/>
        </w:rPr>
        <w:t>容灾机房建设的意义在于确保数据安全、保护业务连续性、提高恢复速度，以及提升医院信誉度和竞争力。</w:t>
      </w:r>
    </w:p>
    <w:p w14:paraId="0415F15D">
      <w:pPr>
        <w:pStyle w:val="2"/>
        <w:rPr>
          <w:rFonts w:hint="eastAsia"/>
        </w:rPr>
      </w:pPr>
      <w:r>
        <w:rPr>
          <w:rFonts w:hint="eastAsia"/>
        </w:rPr>
        <w:t>容灾机房的建设对于现代医院而言至关重要，它通过定期备份和保护数据，确保资料的安全性和可恢复性，即使在灾难发生时，医院仍能及时恢复业务。这种机制不仅有助于防止数据丢失和业务中断，还能减少医院面对的风险和损失。通过建设异地容灾中心，医院可以确保在灾难发生时能够维持关键业务的持续运行，因为数据和基础设施的复制已经完成，业务可以在另一地点恢复。此外，容灾机房的建设还能大大加快业务恢复的速度，这对于降低系统停机时间以及保持客户满意度至关重要。</w:t>
      </w:r>
    </w:p>
    <w:p w14:paraId="6B40C32B">
      <w:pPr>
        <w:pStyle w:val="2"/>
        <w:rPr>
          <w:rFonts w:hint="eastAsia"/>
        </w:rPr>
      </w:pPr>
      <w:r>
        <w:rPr>
          <w:rFonts w:hint="eastAsia"/>
        </w:rPr>
        <w:t>容灾机房的建设还带来了其他益处，包括防止数据丢失和业务中断、减少风险和损失、提升医院信誉度等。具备强大的异地容灾能力，能够增加医院的信誉度和客户信任，为医院带来更多业务机会。在数字化时代，数据存储和容灾已经成为了医院级云计算中至关重要的一环，确保医院数据的安全和可靠性，避免数据丢失、应用程序中断等问题，从而保障业务正常运行。</w:t>
      </w:r>
    </w:p>
    <w:p w14:paraId="23525CED">
      <w:pPr>
        <w:pStyle w:val="2"/>
        <w:rPr>
          <w:rFonts w:ascii="Courier New" w:hAnsi="Courier New" w:cs="Courier New"/>
        </w:rPr>
      </w:pPr>
      <w:r>
        <w:rPr>
          <w:rFonts w:hint="eastAsia"/>
        </w:rPr>
        <w:t>容灾机房的建设对于医院而言，不仅是保障数据安全和医院运营连续性的重要手段，也是提升医院竞争力和信誉度的关键因素</w:t>
      </w:r>
      <w:r>
        <w:rPr>
          <w:rFonts w:hint="eastAsia" w:ascii="Courier New" w:hAnsi="Courier New" w:cs="Courier New"/>
        </w:rPr>
        <w:t>。</w:t>
      </w:r>
    </w:p>
    <w:p w14:paraId="34663229">
      <w:pPr>
        <w:pStyle w:val="2"/>
        <w:rPr>
          <w:rFonts w:hint="eastAsia"/>
        </w:rPr>
      </w:pPr>
      <w:r>
        <w:rPr>
          <w:rFonts w:hint="eastAsia"/>
        </w:rPr>
        <w:t>合理分布工作空间及各类设备安装场所，缩短工艺流程，降低劳动强度，提高工作效率，确保电子计算机系统稳定可靠运行，保障机房工作人员良好的工作环境,并且以国家有关标准及规范为依据。</w:t>
      </w:r>
    </w:p>
    <w:p w14:paraId="323DA58C">
      <w:pPr>
        <w:pStyle w:val="2"/>
        <w:rPr>
          <w:rFonts w:hint="eastAsia"/>
        </w:rPr>
      </w:pPr>
      <w:r>
        <w:rPr>
          <w:rFonts w:hint="eastAsia"/>
        </w:rPr>
        <w:t>根据医院提出的要求与现场实际情况以及计算机系统实际操作运行等情况进行设计，力求在设计、选材中做到整体布局的合理化和科学化。</w:t>
      </w:r>
    </w:p>
    <w:p w14:paraId="720B5207">
      <w:pPr>
        <w:pStyle w:val="2"/>
        <w:rPr>
          <w:rFonts w:hint="eastAsia"/>
        </w:rPr>
      </w:pPr>
      <w:r>
        <w:rPr>
          <w:rFonts w:hint="eastAsia"/>
        </w:rPr>
        <w:t>机房各项功能完整配套，达到专业规范、技术先进、经济合理、安全适用、质量优良、管理方便之目的。</w:t>
      </w:r>
    </w:p>
    <w:p w14:paraId="41D2CAFF">
      <w:pPr>
        <w:pStyle w:val="2"/>
        <w:rPr>
          <w:rFonts w:hint="eastAsia"/>
        </w:rPr>
      </w:pPr>
      <w:r>
        <w:rPr>
          <w:rFonts w:hint="eastAsia"/>
        </w:rPr>
        <w:t>在经济实用的前提下，选择优质机房专用装修材料，主体装修材料宜选用吸音效果好、不易变形、变色、易清洁、防火性好，且高度耐用的材料，达到最佳装修效果。</w:t>
      </w:r>
    </w:p>
    <w:p w14:paraId="0835E3C8">
      <w:pPr>
        <w:pStyle w:val="2"/>
        <w:rPr>
          <w:rFonts w:hint="eastAsia"/>
        </w:rPr>
      </w:pPr>
      <w:r>
        <w:rPr>
          <w:rFonts w:hint="eastAsia"/>
        </w:rPr>
        <w:t>室内控制设备、电器设备、布线系统的选材我们注重其可靠性，全部采用符合国家标准的优质产品，以确保系统投入运行后故障率为最低。</w:t>
      </w:r>
    </w:p>
    <w:p w14:paraId="6FE2520A">
      <w:pPr>
        <w:pStyle w:val="2"/>
        <w:rPr>
          <w:rFonts w:hint="eastAsia"/>
        </w:rPr>
      </w:pPr>
      <w:r>
        <w:rPr>
          <w:rFonts w:hint="eastAsia"/>
        </w:rPr>
        <w:t>机房设计应具有考虑现有设备的利旧（包括UPS、精密空调），同时够满足今后发展的需要。</w:t>
      </w:r>
      <w:r>
        <w:t>。</w:t>
      </w:r>
    </w:p>
    <w:p w14:paraId="5510CF8F">
      <w:pPr>
        <w:pStyle w:val="3"/>
        <w:rPr>
          <w:rFonts w:hint="eastAsia"/>
        </w:rPr>
      </w:pPr>
      <w:bookmarkStart w:id="11" w:name="_Toc176101065"/>
      <w:r>
        <w:rPr>
          <w:rFonts w:hint="eastAsia"/>
        </w:rPr>
        <w:t>需求分析</w:t>
      </w:r>
      <w:bookmarkEnd w:id="11"/>
    </w:p>
    <w:p w14:paraId="71C402BA">
      <w:pPr>
        <w:pStyle w:val="4"/>
        <w:rPr>
          <w:rFonts w:hint="eastAsia"/>
        </w:rPr>
      </w:pPr>
      <w:bookmarkStart w:id="12" w:name="_Toc176101066"/>
      <w:r>
        <w:rPr>
          <w:rFonts w:hint="eastAsia"/>
        </w:rPr>
        <w:t>安全保密与自主可控</w:t>
      </w:r>
      <w:bookmarkEnd w:id="12"/>
    </w:p>
    <w:p w14:paraId="77110071">
      <w:pPr>
        <w:pStyle w:val="5"/>
        <w:tabs>
          <w:tab w:val="left" w:pos="0"/>
          <w:tab w:val="left" w:pos="720"/>
        </w:tabs>
        <w:ind w:left="0"/>
        <w:rPr>
          <w:rFonts w:hint="eastAsia"/>
        </w:rPr>
      </w:pPr>
      <w:r>
        <w:rPr>
          <w:rFonts w:hint="eastAsia"/>
        </w:rPr>
        <w:t>安全保密配套设施建设</w:t>
      </w:r>
    </w:p>
    <w:p w14:paraId="74D12852">
      <w:pPr>
        <w:rPr>
          <w:rFonts w:hint="eastAsia"/>
        </w:rPr>
      </w:pPr>
      <w:r>
        <w:rPr>
          <w:rFonts w:hint="eastAsia"/>
        </w:rPr>
        <w:t>安全保密，门禁控制，使用门禁系统，采用人脸、指纹身份等验证方式。只有授权人员才能进入机房，且系统会记录人员的进出时间和身份信息。监控，安装全方位的视频监控系统，覆盖机房的各个角落，实时预览监控机房内的情况。通过录像，以便后续查看和分析。环境安全，确保机房的温度、湿度等环境因素处于合适的范围，以保障设备的正常运行。同时，要防止火灾、水灾等灾害对机房的破坏。安装火灾自动报警和灭火系统，如烟雾探测器、气体灭火装置等，以及防水浸的传感器。当机房内的烟雾探测器检测到烟雾时，会立即触发气体灭火装置，迅速扑灭火源，保护设备和数据的安全。人员安全管理背景审查与培训，对所有可能接触到容灾机房的人员，包括工作人员、维护人员和供应商等，进行严格的背景审查。确保他们没有不良记录和潜在的安全风险。同时，定期对相关人员进行安全培训，包括安全意识教育、保密制度培训、应急响应流程等。</w:t>
      </w:r>
    </w:p>
    <w:p w14:paraId="78796758">
      <w:pPr>
        <w:rPr>
          <w:rFonts w:hint="eastAsia"/>
        </w:rPr>
      </w:pPr>
      <w:r>
        <w:rPr>
          <w:rFonts w:hint="eastAsia"/>
        </w:rPr>
        <w:t>自主控制，积极采用国产的硬件产品设备。国内一些企业在硬件研发方面取得了显著进展，其产品在性能、可靠性等方面逐渐能够满足容灾机房的需求。</w:t>
      </w:r>
    </w:p>
    <w:p w14:paraId="43699896">
      <w:pPr>
        <w:pStyle w:val="5"/>
        <w:tabs>
          <w:tab w:val="left" w:pos="0"/>
          <w:tab w:val="left" w:pos="720"/>
        </w:tabs>
        <w:ind w:left="0"/>
        <w:rPr>
          <w:rFonts w:hint="eastAsia"/>
        </w:rPr>
      </w:pPr>
      <w:r>
        <w:rPr>
          <w:rFonts w:hint="eastAsia"/>
        </w:rPr>
        <w:t>监管体系的融入</w:t>
      </w:r>
    </w:p>
    <w:p w14:paraId="53E0D6BF">
      <w:pPr>
        <w:rPr>
          <w:rFonts w:hint="eastAsia"/>
        </w:rPr>
      </w:pPr>
      <w:r>
        <w:rPr>
          <w:rFonts w:hint="eastAsia"/>
        </w:rPr>
        <w:t>系统整个架构的可靠性设计，这是容灾容错的一个基础。这个基础之上，我们还要有对于服务的可用性控制，即有了这个基础之后，还有一定的发现、定位、处置能力的一个控制能力，结合在一起，才能真正的达到容灾容错实战的能力要求。</w:t>
      </w:r>
    </w:p>
    <w:p w14:paraId="72361EF1">
      <w:pPr>
        <w:rPr>
          <w:rFonts w:hint="eastAsia"/>
        </w:rPr>
      </w:pPr>
      <w:r>
        <w:rPr>
          <w:rFonts w:hint="eastAsia"/>
        </w:rPr>
        <w:t>容灾机房的架构与技术主服务器处理业务，从服务器进行数据备份。当主服务器出现故障时，从服务器可以接管业务。主从架构两个数据中心同时处理业务，互为备份。当一个数据中心出现故障时，另一个可以继续提供服务。双活架构在两个地理位置不同的数据中心同时进行数据备份，并设置一个离线备份中心。故障切换当主服务器出现故障时，自动将业务切换到备用服务器上。高可用技术通过专用的硬件设备进行负载均衡，性能较高但成本也较高。硬件负载均衡通过安装软件在服务器上实现负载均衡，成本较低但性能可能不如硬件负载均衡。软件负载均衡通过在地理位置分散的节点上缓存内容，减少用户访问延迟，提高系统性能和可用性。</w:t>
      </w:r>
    </w:p>
    <w:p w14:paraId="002CE763">
      <w:pPr>
        <w:pStyle w:val="5"/>
        <w:tabs>
          <w:tab w:val="left" w:pos="0"/>
          <w:tab w:val="left" w:pos="720"/>
        </w:tabs>
        <w:ind w:left="0"/>
        <w:rPr>
          <w:rFonts w:hint="eastAsia"/>
        </w:rPr>
      </w:pPr>
      <w:r>
        <w:rPr>
          <w:rFonts w:hint="eastAsia"/>
        </w:rPr>
        <w:t>内控安全设计</w:t>
      </w:r>
    </w:p>
    <w:p w14:paraId="3B423A48">
      <w:pPr>
        <w:rPr>
          <w:rFonts w:hint="eastAsia"/>
        </w:rPr>
      </w:pPr>
      <w:r>
        <w:rPr>
          <w:rFonts w:hint="eastAsia"/>
        </w:rPr>
        <w:t>数据分区隔离，不同业务系统、不同应用之间的数据和配置信息等具备严格的安全隔离措施，可采用不同的存储资源池和访问策略，防止重要数据或配置信息被同一存储空间上其他业务系统的操作、维护人员或管理员非法访问。</w:t>
      </w:r>
    </w:p>
    <w:p w14:paraId="4315B36B">
      <w:pPr>
        <w:rPr>
          <w:rFonts w:hint="eastAsia"/>
        </w:rPr>
      </w:pPr>
      <w:r>
        <w:rPr>
          <w:rFonts w:hint="eastAsia"/>
        </w:rPr>
        <w:t>数据传输加密，为了保证系统数据传输的完整性、机密性、不可抵赖性，保证信息传输的过程中不被恶意篡改或窃听，以保证通过黑客工具对这些业务数据进行分析破解甚至篡改，而使系统所到攻击产生严重的后果，系统采用https方式进行数据通信，支持客户端证书和服务端证书双向认证，实现对传输数据的加密，从而保证数据信息的安全性、机密性。</w:t>
      </w:r>
    </w:p>
    <w:p w14:paraId="68B375D0">
      <w:pPr>
        <w:rPr>
          <w:rFonts w:hint="eastAsia"/>
        </w:rPr>
      </w:pPr>
      <w:r>
        <w:rPr>
          <w:rFonts w:hint="eastAsia"/>
        </w:rPr>
        <w:t>数据存储加密，对于本地需要存储的数据信息，支持加密后再进行数据存储，提高数据的安全性，即使数据被盗取，也无法识别数据的原型。</w:t>
      </w:r>
    </w:p>
    <w:p w14:paraId="69A3034D">
      <w:pPr>
        <w:pStyle w:val="5"/>
        <w:tabs>
          <w:tab w:val="left" w:pos="0"/>
          <w:tab w:val="left" w:pos="720"/>
        </w:tabs>
        <w:ind w:left="0"/>
        <w:rPr>
          <w:rFonts w:hint="eastAsia"/>
        </w:rPr>
      </w:pPr>
      <w:r>
        <w:rPr>
          <w:rFonts w:hint="eastAsia"/>
        </w:rPr>
        <w:t>安全保密检测评估改</w:t>
      </w:r>
    </w:p>
    <w:p w14:paraId="4E099DA0">
      <w:pPr>
        <w:rPr>
          <w:rFonts w:hint="eastAsia"/>
        </w:rPr>
      </w:pPr>
      <w:r>
        <w:rPr>
          <w:rFonts w:hint="eastAsia"/>
        </w:rPr>
        <w:t>安全传输与存储备份数据的方法在容灾系统中扮演着至关重要的角色。为了确保备份数据的完整性、保密性和可用性，需要采取一系列的安全措施来实现安全传输和存储。本章将详细介绍安全传输与存储备份数据的方法。</w:t>
      </w:r>
    </w:p>
    <w:p w14:paraId="3E210BD8">
      <w:pPr>
        <w:rPr>
          <w:rFonts w:hint="eastAsia"/>
        </w:rPr>
      </w:pPr>
      <w:r>
        <w:rPr>
          <w:rFonts w:hint="eastAsia"/>
        </w:rPr>
        <w:t>安全保密检测数据的方法，加密传输，在备份数据传输过程中，使用加密算法对数据进行加密是保证数据安全性的关键。常用的加密算法包括对称加密算法和非对称加密算法。对称加密算法使用相同的密钥进行加密和解密，适用于大量数据的传输:非对称加密算法使用公钥和私钥进行加密和解密，适用于安全性要求较高的场景。可以选择合适的加密算法和密钥长度，确保数据传输过程中的机密性。传输层安全协议:使用传输层安全协议(TLS，TransportLayerSecurity)来保护备份数据的传输。TLS提供了身份验证、数据完整性和数据加密等功能，能够有效防止数据在传输过程中被篡改、窃听和伪造。备份数据传输过程中使用TLS协议，可以确保数据传输的安全性。</w:t>
      </w:r>
    </w:p>
    <w:p w14:paraId="7234D974">
      <w:pPr>
        <w:rPr>
          <w:rFonts w:hint="eastAsia"/>
        </w:rPr>
      </w:pPr>
      <w:r>
        <w:rPr>
          <w:rFonts w:hint="eastAsia"/>
        </w:rPr>
        <w:t>跨网络隔离，跨不同网络进行备份数据的传输时，应确保备份数据不被未经授权的网络访问。可以通过构建虚拟专用网络(VPN，VirtualPrivate Network)来实现网络隔离，建立加密的通信隧道保证备份数据只在授权的网络环境中传输。安全认证与访问控制:在备份数据传输过程中，进行安全认证和访问控制是确保数据传输安全的重要手段。使用身份验证机制，只允许授权用户进行备份数据的传输。可以采用基于令牌的身份验证、数字证书等方式，对用户进行身份验证和授权。</w:t>
      </w:r>
    </w:p>
    <w:p w14:paraId="25BDDB43">
      <w:pPr>
        <w:pStyle w:val="5"/>
        <w:tabs>
          <w:tab w:val="left" w:pos="0"/>
          <w:tab w:val="left" w:pos="720"/>
        </w:tabs>
        <w:ind w:left="0"/>
        <w:rPr>
          <w:rFonts w:hint="eastAsia"/>
        </w:rPr>
      </w:pPr>
      <w:r>
        <w:rPr>
          <w:rFonts w:hint="eastAsia"/>
        </w:rPr>
        <w:t>国产自主可控要求的落实</w:t>
      </w:r>
    </w:p>
    <w:p w14:paraId="2DB506A3">
      <w:pPr>
        <w:rPr>
          <w:rFonts w:hint="eastAsia"/>
        </w:rPr>
      </w:pPr>
      <w:r>
        <w:rPr>
          <w:rFonts w:hint="eastAsia"/>
        </w:rPr>
        <w:t>本次建设采用的硬件及软件均采用自主可控的CPU、操作系统以及国产软件品牌，同时提供系统安全架构设计、等级保护要求落实、安全保密检测评估及发现问题整改，以及落实国产自主可控要求情况。</w:t>
      </w:r>
    </w:p>
    <w:p w14:paraId="0EDA4993">
      <w:pPr>
        <w:rPr>
          <w:rFonts w:hint="eastAsia"/>
        </w:rPr>
      </w:pPr>
      <w:r>
        <w:rPr>
          <w:rFonts w:hint="eastAsia"/>
        </w:rPr>
        <w:t>平台内置分布式防火墙、虚拟机沙箱、平台集成WAF等安全机制，有效提高平台安全级别；整体安全按照等保要求进行规划，在物理，网络，通信，应用，数据以及云平台安全进行了统一的安全建设，全方位实现纵深安全防御。</w:t>
      </w:r>
    </w:p>
    <w:p w14:paraId="347D6A38">
      <w:pPr>
        <w:rPr>
          <w:rFonts w:hint="eastAsia"/>
        </w:rPr>
      </w:pPr>
      <w:r>
        <w:rPr>
          <w:rFonts w:hint="eastAsia"/>
        </w:rPr>
        <w:t>应用安全层面，平台深度集成了下一代防火墙、无代理杀毒软件、数据库审计等安全模块，构建了4-7层网络和应用安全防护能力。</w:t>
      </w:r>
    </w:p>
    <w:p w14:paraId="65133D57">
      <w:pPr>
        <w:rPr>
          <w:rFonts w:hint="eastAsia"/>
        </w:rPr>
      </w:pPr>
      <w:r>
        <w:rPr>
          <w:rFonts w:hint="eastAsia"/>
        </w:rPr>
        <w:t>虚拟机和租户之间的安全保护，利用创新云安全资源池，同时实现东西向租户安全隔离和南北向业务安全保护；并遵从等保合规的要求。</w:t>
      </w:r>
    </w:p>
    <w:p w14:paraId="05E88AB4">
      <w:pPr>
        <w:pStyle w:val="5"/>
        <w:tabs>
          <w:tab w:val="left" w:pos="0"/>
          <w:tab w:val="left" w:pos="720"/>
        </w:tabs>
        <w:ind w:left="0"/>
        <w:rPr>
          <w:rFonts w:hint="eastAsia"/>
        </w:rPr>
      </w:pPr>
      <w:r>
        <w:rPr>
          <w:rFonts w:hint="eastAsia"/>
        </w:rPr>
        <w:t>进度管控和保密管理</w:t>
      </w:r>
    </w:p>
    <w:p w14:paraId="5102DCCA">
      <w:pPr>
        <w:rPr>
          <w:rFonts w:hint="eastAsia"/>
        </w:rPr>
      </w:pPr>
      <w:r>
        <w:rPr>
          <w:rFonts w:hint="eastAsia"/>
        </w:rPr>
        <w:t>容灾机房基础建设进度管控和保密管理至关重要，以下是对此的概述：</w:t>
      </w:r>
    </w:p>
    <w:p w14:paraId="651340AD">
      <w:pPr>
        <w:rPr>
          <w:rFonts w:hint="eastAsia"/>
        </w:rPr>
      </w:pPr>
      <w:r>
        <w:rPr>
          <w:rFonts w:hint="eastAsia"/>
        </w:rPr>
        <w:t>进度管控，需制定详细的建设方案，包括机房选址、布局规划、基础设施建设等，确保各环节有序进行。在实施过程中，要定期检查建设进度，确保按时完成各项任务。对于出现的问题和延误，要及时调整计划，确保整体建设进度不受影响。</w:t>
      </w:r>
    </w:p>
    <w:p w14:paraId="6F859E9F">
      <w:pPr>
        <w:rPr>
          <w:rFonts w:hint="eastAsia"/>
        </w:rPr>
      </w:pPr>
      <w:r>
        <w:rPr>
          <w:rFonts w:hint="eastAsia"/>
        </w:rPr>
        <w:t>保密管理，容灾机房建设涉及敏感数据和设备，必须实施严格的保密措施。设立门禁系统，限制无关人员进入机房区域。对参与建设的人员进行保密培训，确保他们了解并遵守保密规定。定期检查保密措施的执行情况，及时发现并纠正潜在的安全隐患。</w:t>
      </w:r>
    </w:p>
    <w:p w14:paraId="52AF7F2B">
      <w:pPr>
        <w:pStyle w:val="4"/>
        <w:rPr>
          <w:rFonts w:hint="eastAsia"/>
        </w:rPr>
      </w:pPr>
      <w:bookmarkStart w:id="13" w:name="_Toc176101067"/>
      <w:r>
        <w:rPr>
          <w:rFonts w:hint="eastAsia"/>
        </w:rPr>
        <w:t>系统需求分析</w:t>
      </w:r>
      <w:bookmarkEnd w:id="13"/>
      <w:r>
        <w:rPr>
          <w:rFonts w:hint="eastAsia"/>
        </w:rPr>
        <w:t xml:space="preserve"> </w:t>
      </w:r>
    </w:p>
    <w:p w14:paraId="150E6E20">
      <w:pPr>
        <w:pStyle w:val="5"/>
        <w:tabs>
          <w:tab w:val="left" w:pos="0"/>
          <w:tab w:val="left" w:pos="720"/>
        </w:tabs>
        <w:ind w:left="0"/>
        <w:rPr>
          <w:rFonts w:hint="eastAsia"/>
        </w:rPr>
      </w:pPr>
      <w:r>
        <w:rPr>
          <w:rFonts w:hint="eastAsia"/>
        </w:rPr>
        <w:t>环境适配</w:t>
      </w:r>
    </w:p>
    <w:p w14:paraId="46A12588">
      <w:pPr>
        <w:pStyle w:val="2"/>
        <w:rPr>
          <w:rFonts w:hint="eastAsia"/>
        </w:rPr>
      </w:pPr>
      <w:r>
        <w:rPr>
          <w:rFonts w:hint="eastAsia"/>
        </w:rPr>
        <w:t>地理位置与选址适配，地质与自然灾害因素考虑，容灾机房的选址应尽量避开地震带、洪水易发区、山体滑坡等地质灾害高发区域。在地震频发地区建设容灾机房，需要对建筑结构进行特殊的抗震设计，采用加固的地基和抗震框架等措施，以确保在地震发生时，机房建筑及内部设备的安全。如果容灾机房建在靠近河流等易受洪水威胁的区域，就需要建设完善的防洪设施，如防水堤坝、排水系统等，防止洪水侵入机房。</w:t>
      </w:r>
    </w:p>
    <w:p w14:paraId="15EF1673">
      <w:pPr>
        <w:pStyle w:val="2"/>
        <w:rPr>
          <w:rFonts w:hint="eastAsia"/>
        </w:rPr>
      </w:pPr>
      <w:r>
        <w:rPr>
          <w:rFonts w:hint="eastAsia"/>
        </w:rPr>
        <w:t>电力与网络资源的接近性，容灾机房是电力消耗大户，应靠近可靠的电力供应源，如变电站等。这样可以减少电力传输过程中的损耗，并且在电力供应出现问题时能够更快速地与电力公司进行沟通和解决。</w:t>
      </w:r>
    </w:p>
    <w:p w14:paraId="03D39D42">
      <w:pPr>
        <w:pStyle w:val="2"/>
        <w:rPr>
          <w:rFonts w:hint="eastAsia"/>
        </w:rPr>
      </w:pPr>
      <w:r>
        <w:rPr>
          <w:rFonts w:hint="eastAsia"/>
        </w:rPr>
        <w:t>此外，良好的网络连接也是关键。选址应靠近主要的网络节点和通信枢纽，以便能够快速接入高速网络，降低网络延迟。</w:t>
      </w:r>
    </w:p>
    <w:p w14:paraId="769875D9">
      <w:pPr>
        <w:pStyle w:val="2"/>
        <w:rPr>
          <w:rFonts w:hint="eastAsia"/>
        </w:rPr>
      </w:pPr>
      <w:r>
        <w:rPr>
          <w:rFonts w:hint="eastAsia"/>
        </w:rPr>
        <w:t>室内环境适配，温度与湿度控制，容灾机房内的设备对环境温度和湿度有严格的要求。温度过高会影响设备的性能和寿命，甚至导致设备故障；湿度过高可能引起设备腐蚀，湿度过低则容易产生静电。一般来说，容灾机房的温度应保持在 20-25 摄氏度之间，相对湿度在 40%-60%之间。</w:t>
      </w:r>
    </w:p>
    <w:p w14:paraId="3178FCC2">
      <w:pPr>
        <w:pStyle w:val="2"/>
        <w:rPr>
          <w:rFonts w:hint="eastAsia"/>
        </w:rPr>
      </w:pPr>
      <w:r>
        <w:rPr>
          <w:rFonts w:hint="eastAsia"/>
        </w:rPr>
        <w:t>为了实现精确的温湿度控制，需要安装专业的空调系统。精密空调能够根据机房内的实际温度和湿度情况进行自动调节，确保环境参数始终处于合适的范围内。</w:t>
      </w:r>
    </w:p>
    <w:p w14:paraId="0A5884DF">
      <w:pPr>
        <w:pStyle w:val="2"/>
        <w:rPr>
          <w:rFonts w:hint="eastAsia"/>
        </w:rPr>
      </w:pPr>
      <w:r>
        <w:rPr>
          <w:rFonts w:hint="eastAsia"/>
        </w:rPr>
        <w:t>电力适配，电力供应系统设计，容灾机房的电力供应系统需要具备高可靠性。应配备大容量的不间断电源（UPS）。UPS 可以在市电中断时立即提供电力支持，保证机柜内设备的持续运行，其容量要根据容灾机房的设备负载和停电时间要求进行合理设计。</w:t>
      </w:r>
    </w:p>
    <w:p w14:paraId="088BC41A">
      <w:pPr>
        <w:pStyle w:val="2"/>
        <w:rPr>
          <w:rFonts w:hint="eastAsia"/>
        </w:rPr>
      </w:pPr>
      <w:r>
        <w:rPr>
          <w:rFonts w:hint="eastAsia"/>
        </w:rPr>
        <w:t>消防与安防适配，消防系统配置，容灾机房需要配备完善的消防系统，以应对可能发生的火灾。火灾自动报警系统应能够及时检测到火灾的发生，并发出警报。采用感烟探测器、感温探测器等多种探测器相结合的方式，提高火灾检测的准确性。在机房顶部安装感烟探测器。</w:t>
      </w:r>
    </w:p>
    <w:p w14:paraId="1EDE95C3">
      <w:pPr>
        <w:pStyle w:val="2"/>
        <w:rPr>
          <w:rFonts w:hint="eastAsia"/>
        </w:rPr>
      </w:pPr>
      <w:r>
        <w:rPr>
          <w:rFonts w:hint="eastAsia"/>
        </w:rPr>
        <w:t>灭火系统方面，由于容灾机房内有大量的电子设备，不能采用传统的水喷淋灭火方式，而是采用气体灭火系统。</w:t>
      </w:r>
    </w:p>
    <w:p w14:paraId="37D78A67">
      <w:pPr>
        <w:pStyle w:val="2"/>
        <w:rPr>
          <w:rFonts w:hint="eastAsia"/>
        </w:rPr>
      </w:pPr>
      <w:r>
        <w:rPr>
          <w:rFonts w:hint="eastAsia"/>
        </w:rPr>
        <w:t>安防系统建设，容灾机房的安防系统包括门禁系统、视频监控系统等。门禁系统要严格控制人员的进出，采用人脸身份验证方式，视频监控系统要覆盖机房的各个角落，并且具备高清画质和录像存储功能，以便在发生安全事件时能够进行调查和追溯。</w:t>
      </w:r>
    </w:p>
    <w:p w14:paraId="150E38B0">
      <w:pPr>
        <w:pStyle w:val="5"/>
        <w:tabs>
          <w:tab w:val="left" w:pos="0"/>
          <w:tab w:val="left" w:pos="720"/>
        </w:tabs>
        <w:ind w:left="0"/>
        <w:rPr>
          <w:rFonts w:hint="eastAsia"/>
        </w:rPr>
      </w:pPr>
      <w:r>
        <w:rPr>
          <w:rFonts w:hint="eastAsia"/>
        </w:rPr>
        <w:t>效能</w:t>
      </w:r>
    </w:p>
    <w:p w14:paraId="4B0E6C3F">
      <w:pPr>
        <w:pStyle w:val="2"/>
        <w:rPr>
          <w:rFonts w:hint="eastAsia"/>
        </w:rPr>
      </w:pPr>
      <w:r>
        <w:rPr>
          <w:rFonts w:hint="eastAsia"/>
        </w:rPr>
        <w:t>可靠性与稳定性效能，电力供应保障，容灾机房配备了不间断电源（UPS），UPS 能够在市电出现短暂波动或中断时，立即提供稳定的电力，确保服务器等关键设备不会因瞬间断电而出现故障或数据丢失。当市电突然出现几毫秒的电压下降时，UPS 能够迅速补充电力，维持服务器的正常运行。而备用发电机则在市电长时间中断的情况下启动，为容灾机房提供持续的电力支持。这样的电力保障措施大大提高了容灾机房的可靠性，保证业务的连续性。</w:t>
      </w:r>
    </w:p>
    <w:p w14:paraId="57343A1A">
      <w:pPr>
        <w:pStyle w:val="2"/>
        <w:rPr>
          <w:rFonts w:hint="eastAsia"/>
        </w:rPr>
      </w:pPr>
      <w:r>
        <w:rPr>
          <w:rFonts w:hint="eastAsia"/>
        </w:rPr>
        <w:t>制冷与散热系统效能，高效的制冷和散热系统对于容灾机房至关重要。容灾机房内的大量服务器和设备在运行过程中会产生大量的热量，如果不能及时散热，会导致设备温度过高，影响性能甚至损坏设备。先进的制冷系统，如精密空调，能够精确控制机房内的温度和湿度，保持设备在适宜的工作环境中。将机房温度控制在 22-24 摄氏度，相对湿度控制在 40%-60%的范围内，确保服务器等设备能够稳定运行。</w:t>
      </w:r>
    </w:p>
    <w:p w14:paraId="4E658AB7">
      <w:pPr>
        <w:pStyle w:val="2"/>
        <w:rPr>
          <w:rFonts w:hint="eastAsia"/>
        </w:rPr>
      </w:pPr>
      <w:r>
        <w:rPr>
          <w:rFonts w:hint="eastAsia"/>
        </w:rPr>
        <w:t>安全性与防护效能，物理安全防护，容灾机房通常具有严格的物理安全措施。只有经过授权的人员才能进入机房区域，防止未经许可的人员进入破坏设备或窃取数据。</w:t>
      </w:r>
    </w:p>
    <w:p w14:paraId="00B5564B">
      <w:pPr>
        <w:pStyle w:val="2"/>
        <w:rPr>
          <w:rFonts w:hint="eastAsia"/>
        </w:rPr>
      </w:pPr>
      <w:r>
        <w:rPr>
          <w:rFonts w:hint="eastAsia"/>
        </w:rPr>
        <w:t>机房内部的设备布局也考虑了物理安全因素，机房配备了消防系统，包括烟雾探测器、自动灭火装置等，一旦发生火灾能够及时进行灭火，保护设备和数据的安全。</w:t>
      </w:r>
    </w:p>
    <w:p w14:paraId="00265FD6">
      <w:pPr>
        <w:pStyle w:val="5"/>
        <w:tabs>
          <w:tab w:val="left" w:pos="0"/>
          <w:tab w:val="left" w:pos="720"/>
        </w:tabs>
        <w:ind w:left="0"/>
        <w:rPr>
          <w:rFonts w:hint="eastAsia"/>
        </w:rPr>
      </w:pPr>
      <w:r>
        <w:rPr>
          <w:rFonts w:hint="eastAsia"/>
        </w:rPr>
        <w:t>完善体系</w:t>
      </w:r>
    </w:p>
    <w:p w14:paraId="5EE306C1">
      <w:pPr>
        <w:rPr>
          <w:rFonts w:hint="eastAsia"/>
        </w:rPr>
      </w:pPr>
      <w:r>
        <w:rPr>
          <w:rFonts w:hint="eastAsia"/>
        </w:rPr>
        <w:t>选址与布局，选择交通便利、地质稳定、气候适宜、电力供应稳定、网络条件良好且安全保障措施完善的地区进行机房建设。合理规划机房布局，充分考虑设备类型、数量、尺寸等因素。</w:t>
      </w:r>
    </w:p>
    <w:p w14:paraId="1BC00D47">
      <w:pPr>
        <w:rPr>
          <w:rFonts w:hint="eastAsia"/>
        </w:rPr>
      </w:pPr>
      <w:r>
        <w:rPr>
          <w:rFonts w:hint="eastAsia"/>
        </w:rPr>
        <w:t>基础设施建设，建设稳定可靠的供配电系统，包括高压配电、低压配电、UPS不间断电源等。设计合理的制冷系统，确保机房内部环境的恒温恒湿。配置完善的消防设施，确保机房安全。</w:t>
      </w:r>
    </w:p>
    <w:p w14:paraId="5B19A693">
      <w:pPr>
        <w:rPr>
          <w:rFonts w:hint="eastAsia"/>
        </w:rPr>
      </w:pPr>
      <w:r>
        <w:rPr>
          <w:rFonts w:hint="eastAsia"/>
        </w:rPr>
        <w:t>设备选型与配置，根据业务需求和技术架构，选择高性能、高可靠性的服务器、存储设备和网络设备。</w:t>
      </w:r>
    </w:p>
    <w:p w14:paraId="0AFF9973">
      <w:pPr>
        <w:rPr>
          <w:rFonts w:hint="eastAsia"/>
        </w:rPr>
      </w:pPr>
      <w:r>
        <w:rPr>
          <w:rFonts w:hint="eastAsia"/>
        </w:rPr>
        <w:t>安全防护设计，实施物理安全措施，确保机房内部设备的安全。</w:t>
      </w:r>
    </w:p>
    <w:p w14:paraId="4C9CC4DF">
      <w:pPr>
        <w:pStyle w:val="5"/>
        <w:tabs>
          <w:tab w:val="left" w:pos="0"/>
          <w:tab w:val="left" w:pos="720"/>
        </w:tabs>
        <w:ind w:left="0"/>
        <w:rPr>
          <w:rFonts w:hint="eastAsia"/>
        </w:rPr>
      </w:pPr>
      <w:r>
        <w:rPr>
          <w:rFonts w:hint="eastAsia"/>
        </w:rPr>
        <w:t>提升能力</w:t>
      </w:r>
    </w:p>
    <w:p w14:paraId="5113A4EE">
      <w:pPr>
        <w:rPr>
          <w:rFonts w:hint="eastAsia"/>
        </w:rPr>
      </w:pPr>
      <w:r>
        <w:rPr>
          <w:rFonts w:hint="eastAsia"/>
        </w:rPr>
        <w:t>容灾机房提升能力主要涉及冷却效率、电源管理、空间优化、安全性以及资源可视化等方面。</w:t>
      </w:r>
    </w:p>
    <w:p w14:paraId="4EB262E6">
      <w:pPr>
        <w:rPr>
          <w:rFonts w:hint="eastAsia"/>
        </w:rPr>
      </w:pPr>
      <w:r>
        <w:rPr>
          <w:rFonts w:hint="eastAsia"/>
        </w:rPr>
        <w:t>提高冷却效率，通过优化空调回路管理，提高冷却单元的返回温度，以增强容量和效率。电源管理，部署UPS，确保电源中断时的连续运作，同时提高电源利用效率。空间优化，重新规划机房布局，提升空间利用率，以应对设备增加带来的空间挑战。增强安全性，安装物理设备，如监控摄像头、门禁系统确保机房运行安全。资源可视化，构建容灾机房可视化平台，实现环境方面的全面监控和管理，提高资源使用效率和管理便捷性。。</w:t>
      </w:r>
    </w:p>
    <w:p w14:paraId="1619F080">
      <w:pPr>
        <w:pStyle w:val="5"/>
        <w:tabs>
          <w:tab w:val="left" w:pos="0"/>
          <w:tab w:val="left" w:pos="720"/>
        </w:tabs>
        <w:ind w:left="0"/>
        <w:rPr>
          <w:rFonts w:hint="eastAsia"/>
        </w:rPr>
      </w:pPr>
      <w:r>
        <w:rPr>
          <w:rFonts w:hint="eastAsia"/>
        </w:rPr>
        <w:t>引领发展与成果共享</w:t>
      </w:r>
    </w:p>
    <w:p w14:paraId="674C0B00">
      <w:pPr>
        <w:pStyle w:val="2"/>
        <w:rPr>
          <w:rFonts w:hint="eastAsia"/>
        </w:rPr>
      </w:pPr>
      <w:r>
        <w:rPr>
          <w:rFonts w:hint="eastAsia"/>
        </w:rPr>
        <w:t>容灾机房基础建设在引领医院高质量发展中扮演着重要角色。它不仅为医院提供了强大的数据存储和处理能力，还通过数据统计和分析，为绩效管理提供了坚实的数据支撑，助力医院实现科学化、规范化、精细化的运营管理。容灾机房是医院信息化建设的核心：它整合了医疗、教学、科研等业务系统和资源系统，为医院运营管理决策提供了全面的数据支持。数据统计工作对绩效管理至关重要：通过信息收集、科学研究和辅助管理决策，容灾机房能够挖掘医院运行的深层规律，主动牵引医院绩效高质量发展。容灾机房的建设还推动了智慧医院的发展：通过提供超宽、极简、融合、智维的全光网络，为医院的高质量发展提供了坚实的基础</w:t>
      </w:r>
    </w:p>
    <w:p w14:paraId="4F5F6E7C">
      <w:pPr>
        <w:pStyle w:val="2"/>
        <w:rPr>
          <w:rFonts w:hint="eastAsia"/>
        </w:rPr>
      </w:pPr>
      <w:r>
        <w:rPr>
          <w:rFonts w:hint="eastAsia"/>
        </w:rPr>
        <w:t>容灾机房作为医院信息化、数字化发展的重要保障，其建设成果显著，主要体现在以下几个方面：</w:t>
      </w:r>
    </w:p>
    <w:p w14:paraId="109BFED0">
      <w:pPr>
        <w:pStyle w:val="2"/>
        <w:rPr>
          <w:rFonts w:hint="eastAsia"/>
        </w:rPr>
      </w:pPr>
      <w:r>
        <w:rPr>
          <w:rFonts w:hint="eastAsia"/>
        </w:rPr>
        <w:t>提升了医院运营效率，通过优化机房布局、增强冷却效率、提高电源管理等方式，确保了容灾机房的高效运行，进而提升了医院整体的运营效率和服务质量。增强了数据安全性：机房建设严格遵循相关国家标准和规范，实施了物理措施，如监控摄像头、门禁系统等，确保了医院设备的安全性。支撑了智慧医院建设，容灾机房机房的建设不仅满足了当前的业务需求，还为智慧医院的可持续发展提供了支撑，如通过人才培养体系解决了医信专业人才缺失的问题。</w:t>
      </w:r>
    </w:p>
    <w:p w14:paraId="0F4535CF">
      <w:pPr>
        <w:pStyle w:val="5"/>
        <w:tabs>
          <w:tab w:val="left" w:pos="0"/>
          <w:tab w:val="left" w:pos="720"/>
        </w:tabs>
        <w:ind w:left="0"/>
        <w:rPr>
          <w:rFonts w:hint="eastAsia"/>
        </w:rPr>
      </w:pPr>
      <w:r>
        <w:rPr>
          <w:rFonts w:hint="eastAsia"/>
        </w:rPr>
        <w:t>转化应用</w:t>
      </w:r>
    </w:p>
    <w:p w14:paraId="030E32B0">
      <w:pPr>
        <w:pStyle w:val="2"/>
        <w:rPr>
          <w:rFonts w:hint="eastAsia"/>
        </w:rPr>
      </w:pPr>
      <w:r>
        <w:rPr>
          <w:rFonts w:hint="eastAsia"/>
        </w:rPr>
        <w:t>医疗信息化支持，医院容灾机房容灾机房为业务系统提供稳定的运行环境。通过高速的网络连接和可靠的服务器存储，确保医生能够准确、及时地记录患者的病历信息，为患者提供连贯的医疗服务。</w:t>
      </w:r>
    </w:p>
    <w:p w14:paraId="16443CEB">
      <w:pPr>
        <w:pStyle w:val="2"/>
        <w:rPr>
          <w:rFonts w:hint="eastAsia"/>
        </w:rPr>
      </w:pPr>
      <w:r>
        <w:rPr>
          <w:rFonts w:hint="eastAsia"/>
        </w:rPr>
        <w:t>医疗设备运行保障，医疗设备网络连接，现代医疗设备如监护仪、心电图机等很多都具备网络连接功能，医院容灾机房为这些设备提供了网络接入点和数据传输通道。</w:t>
      </w:r>
    </w:p>
    <w:p w14:paraId="7581278D">
      <w:pPr>
        <w:pStyle w:val="2"/>
        <w:rPr>
          <w:rFonts w:hint="eastAsia"/>
        </w:rPr>
      </w:pPr>
      <w:r>
        <w:rPr>
          <w:rFonts w:hint="eastAsia"/>
        </w:rPr>
        <w:t>设备远程监控与维护，医院容灾机房可以作为医疗设备远程监控和维护的中心。一些高端医疗设备制造商可以通过网络连接到医院容灾机房，对设备的运行状态进行实时监测，提前发现潜在的故障隐患，并进行远程诊断和修复。</w:t>
      </w:r>
    </w:p>
    <w:p w14:paraId="0A03851D">
      <w:pPr>
        <w:pStyle w:val="2"/>
        <w:rPr>
          <w:rFonts w:hint="eastAsia"/>
        </w:rPr>
      </w:pPr>
      <w:r>
        <w:rPr>
          <w:rFonts w:hint="eastAsia"/>
        </w:rPr>
        <w:t>科研与教学支持，医学数据存储与分析，医院容灾机房为医学科研提供了大量的数据存储和分析能力。医院在日常医疗活动中积累了丰富的患者临床数据，这些数据存储在机房的服务器中。科研人员可以通过医院内部网络访问这些数据，进行疾病研究工作。</w:t>
      </w:r>
    </w:p>
    <w:p w14:paraId="527F94D9">
      <w:pPr>
        <w:pStyle w:val="2"/>
        <w:rPr>
          <w:rFonts w:hint="eastAsia"/>
        </w:rPr>
      </w:pPr>
      <w:r>
        <w:rPr>
          <w:rFonts w:hint="eastAsia"/>
        </w:rPr>
        <w:t>远程教学与培训，医院容灾机房可以支持远程教学和培训活动。通过网络视频会议等技术，医院可以邀请国内专家进行学术讲座和手术演示，医护人员可以在医院内部的会议室或通过个人电脑观看学习。。</w:t>
      </w:r>
    </w:p>
    <w:p w14:paraId="7D647868">
      <w:pPr>
        <w:pStyle w:val="5"/>
        <w:tabs>
          <w:tab w:val="left" w:pos="0"/>
          <w:tab w:val="left" w:pos="720"/>
        </w:tabs>
        <w:ind w:left="0"/>
        <w:rPr>
          <w:rFonts w:hint="eastAsia"/>
        </w:rPr>
      </w:pPr>
      <w:r>
        <w:rPr>
          <w:rFonts w:hint="eastAsia"/>
        </w:rPr>
        <w:t>成本控制与管理</w:t>
      </w:r>
    </w:p>
    <w:p w14:paraId="48AEF2C3">
      <w:pPr>
        <w:rPr>
          <w:rFonts w:hint="eastAsia"/>
        </w:rPr>
      </w:pPr>
      <w:r>
        <w:rPr>
          <w:rFonts w:hint="eastAsia"/>
        </w:rPr>
        <w:t>容灾机房基础建设经费开支的合理性与规范性，经费开支与项目需求的匹配性，容灾机房建设经费的开支应与项目的实际需求相匹配，包括机房装修、电气系统、UPS系统、空调系统等各项基础设施的建设和集成。预算安排的遵循情况，经费开支应严格遵循预算安排，确保资金的有效利用，避免超支和浪费。投资效益的评估，应对机房基础建设的投资效益进行评估，确保经费开支能够带来相应的回报，提高医院的整体运营效率和服务质量。容灾机房基础建设经费开支应合理、规范，并与规划投资和预算安排相符合，以确保项目的顺利实施和医院的长期发展。</w:t>
      </w:r>
    </w:p>
    <w:p w14:paraId="07888721">
      <w:pPr>
        <w:pStyle w:val="2"/>
        <w:rPr>
          <w:rFonts w:hint="eastAsia"/>
        </w:rPr>
      </w:pPr>
      <w:r>
        <w:rPr>
          <w:rFonts w:hint="eastAsia"/>
        </w:rPr>
        <w:t>容灾机房基础建设推广复用的成本是否合理，需综合考虑多个因素，包括建设规模、设备费用、机房类型等。在评估价格优势时，应与国内外其他同类项目进行比较，分析在建设成本、运营效率以及长期维护成本等方面的差异。建设成本，包括机房装修、机电设备、消防设施等费用，需根据具体需求和配置进行预算。运营效率，高效的机房设计和管理可以降低运营成本，提高价格优势。长期维护成本，机房的维护成本也是评估价格优势的重要因素。评估容灾机房基础建设推广复用的成本及价格优势需全面考虑，并与国内外同类项目进行对比分析</w:t>
      </w:r>
    </w:p>
    <w:p w14:paraId="6158EFE1">
      <w:pPr>
        <w:pStyle w:val="5"/>
        <w:tabs>
          <w:tab w:val="left" w:pos="0"/>
          <w:tab w:val="left" w:pos="720"/>
        </w:tabs>
        <w:ind w:left="0"/>
        <w:rPr>
          <w:rFonts w:hint="eastAsia"/>
        </w:rPr>
      </w:pPr>
      <w:r>
        <w:rPr>
          <w:rFonts w:hint="eastAsia"/>
        </w:rPr>
        <w:t>建设内容优化调整</w:t>
      </w:r>
    </w:p>
    <w:p w14:paraId="6143B123">
      <w:pPr>
        <w:rPr>
          <w:rFonts w:hint="eastAsia"/>
        </w:rPr>
      </w:pPr>
      <w:r>
        <w:rPr>
          <w:rFonts w:hint="eastAsia"/>
        </w:rPr>
        <w:t>容灾机房建设的调整内容合理性与程序合规性对功能性能、质量效益等方面具有重要影响。功能性能提升，合理的调整内容能够确保机房建设满足当前及未来的业务需求，提升数据处理和业务运行的能力，确保系统的高效运行。质量效益保障，合规的程序能够确保机房建设的质量，减少因建设过程中的疏漏导致的后期运维成本，提高整体的投资效益。长期可持续发展，合理的调整内容与合规的程序共同确保机房建设的可持续性，为医院的长期发展提供稳定、可靠的技术支持。</w:t>
      </w:r>
    </w:p>
    <w:p w14:paraId="4839FF63">
      <w:pPr>
        <w:pStyle w:val="3"/>
        <w:rPr>
          <w:rFonts w:hint="eastAsia"/>
        </w:rPr>
      </w:pPr>
      <w:bookmarkStart w:id="14" w:name="_Toc176101068"/>
      <w:r>
        <w:rPr>
          <w:rFonts w:hint="eastAsia"/>
        </w:rPr>
        <w:t>建设方案</w:t>
      </w:r>
      <w:bookmarkEnd w:id="14"/>
    </w:p>
    <w:p w14:paraId="32FAEE6E">
      <w:pPr>
        <w:pStyle w:val="4"/>
        <w:rPr>
          <w:rFonts w:hint="eastAsia"/>
        </w:rPr>
      </w:pPr>
      <w:bookmarkStart w:id="15" w:name="_Toc176101069"/>
      <w:r>
        <w:rPr>
          <w:rFonts w:hint="eastAsia"/>
        </w:rPr>
        <w:t>建设原则和策略</w:t>
      </w:r>
      <w:bookmarkEnd w:id="15"/>
    </w:p>
    <w:p w14:paraId="69838C82">
      <w:pPr>
        <w:rPr>
          <w:rFonts w:hint="eastAsia"/>
        </w:rPr>
      </w:pPr>
      <w:r>
        <w:rPr>
          <w:rFonts w:hint="eastAsia"/>
        </w:rPr>
        <w:t>本次容灾机房位于1号楼，面积约为18平米，标准要达到《电子计算机机房设计规范》中的C级标准。</w:t>
      </w:r>
    </w:p>
    <w:p w14:paraId="506CAF00">
      <w:pPr>
        <w:pStyle w:val="2"/>
        <w:rPr>
          <w:rFonts w:hint="eastAsia"/>
        </w:rPr>
      </w:pPr>
      <w:r>
        <w:rPr>
          <w:rFonts w:hint="eastAsia"/>
        </w:rPr>
        <w:t>按照国际标准 TIA-942（Telecommunications Infrastructure Standard for Data Centers）、国内标准 GB 50174-2017《灾备机房设计规范》等。明确标准中对于机房选址、布局、环境要求、设备配置等方面的具体规定。根据标准，容灾机房不应选择在易受洪水、地震等自然灾害影响的区域，并且要考虑到电力供应的稳定性和网络接入的便利性。</w:t>
      </w:r>
    </w:p>
    <w:p w14:paraId="1AF77222">
      <w:pPr>
        <w:pStyle w:val="4"/>
        <w:rPr>
          <w:rFonts w:hint="eastAsia"/>
        </w:rPr>
      </w:pPr>
      <w:bookmarkStart w:id="16" w:name="_Toc176101070"/>
      <w:r>
        <w:rPr>
          <w:rFonts w:hint="eastAsia"/>
        </w:rPr>
        <w:t>项目建设目标</w:t>
      </w:r>
      <w:bookmarkEnd w:id="16"/>
    </w:p>
    <w:p w14:paraId="0123FEDB">
      <w:pPr>
        <w:rPr>
          <w:rFonts w:hint="eastAsia" w:ascii="仿宋" w:hAnsi="仿宋"/>
          <w:szCs w:val="22"/>
        </w:rPr>
      </w:pPr>
      <w:r>
        <w:rPr>
          <w:rFonts w:hint="eastAsia" w:ascii="仿宋" w:hAnsi="仿宋"/>
          <w:szCs w:val="22"/>
        </w:rPr>
        <w:t>可用性指标，正常运行时间，预定目标可能是全年 99.99%的可用性。全年停机时间不能超过约 52.6分钟（计算方式：365天×24小时×60分钟×(1-0.9999)=52.6分钟）。主干网络冗余，预定有2条冗余的网络链路，当一条链路出现故障时，流量能够自动切换到其他链路而不影响业务。</w:t>
      </w:r>
    </w:p>
    <w:p w14:paraId="0203566B">
      <w:pPr>
        <w:rPr>
          <w:rFonts w:hint="eastAsia" w:ascii="仿宋" w:hAnsi="仿宋"/>
          <w:szCs w:val="22"/>
        </w:rPr>
      </w:pPr>
      <w:r>
        <w:rPr>
          <w:rFonts w:hint="eastAsia" w:ascii="仿宋" w:hAnsi="仿宋"/>
          <w:szCs w:val="22"/>
        </w:rPr>
        <w:t>性能指标，机房的温度目标可能设定在 22℃±2℃，湿度目标可能在 40%-60%之间。通过安装在机房内不同位置的温湿度传感器采集数据。</w:t>
      </w:r>
    </w:p>
    <w:p w14:paraId="3CBCEB84">
      <w:pPr>
        <w:rPr>
          <w:rFonts w:hint="eastAsia" w:ascii="仿宋" w:hAnsi="仿宋"/>
          <w:szCs w:val="22"/>
        </w:rPr>
      </w:pPr>
      <w:r>
        <w:rPr>
          <w:rFonts w:hint="eastAsia" w:ascii="仿宋" w:hAnsi="仿宋"/>
          <w:szCs w:val="22"/>
        </w:rPr>
        <w:t>安全性指标，门禁系统的目标可能是只有授权人员能够进入机房，并且有详细的进出记录。消防系统目标是在火灾发生时能够及时报警并有效灭火。</w:t>
      </w:r>
    </w:p>
    <w:p w14:paraId="5A685C2A">
      <w:pPr>
        <w:pStyle w:val="4"/>
        <w:rPr>
          <w:rFonts w:hint="eastAsia"/>
        </w:rPr>
      </w:pPr>
      <w:bookmarkStart w:id="17" w:name="_Toc176101071"/>
      <w:r>
        <w:rPr>
          <w:rFonts w:hint="eastAsia"/>
        </w:rPr>
        <w:t>国内外医院容灾机房技术对比</w:t>
      </w:r>
      <w:bookmarkEnd w:id="17"/>
    </w:p>
    <w:p w14:paraId="3620E19E">
      <w:pPr>
        <w:pStyle w:val="2"/>
        <w:rPr>
          <w:rFonts w:hint="eastAsia"/>
        </w:rPr>
      </w:pPr>
      <w:r>
        <w:rPr>
          <w:rFonts w:ascii="Times New Roman" w:hAnsi="Times New Roman"/>
        </w:rPr>
        <w:t>‌</w:t>
      </w:r>
      <w:r>
        <w:rPr>
          <w:rFonts w:hint="eastAsia"/>
        </w:rPr>
        <w:t>国内外医院容灾机房技术在设计理念、技术应用、实施细节等方面存在差异，但共同目标是确保医院信息系统的安全、稳定运行。</w:t>
      </w:r>
    </w:p>
    <w:p w14:paraId="580838EC">
      <w:pPr>
        <w:pStyle w:val="2"/>
        <w:rPr>
          <w:rFonts w:ascii="Times New Roman" w:hAnsi="Times New Roman"/>
        </w:rPr>
      </w:pPr>
      <w:r>
        <w:t>设计理念</w:t>
      </w:r>
      <w:r>
        <w:rPr>
          <w:rFonts w:hint="eastAsia" w:ascii="Times New Roman" w:hAnsi="Times New Roman"/>
        </w:rPr>
        <w:t>，</w:t>
      </w:r>
      <w:r>
        <w:t>国内外医院容灾机房设计的核心目标都是确保医院信息系统的数据安全、业务连续性以及在灾难发生时能够迅速恢复服务。国内医院容灾机房设计强调从实际需求出发，明确灾备系统的恢复时间目标（RTO）和恢复点目标（RPO），确保在灾难发生时能够迅速切换到备用系统，保持业务连续运行</w:t>
      </w:r>
      <w:r>
        <w:rPr>
          <w:rFonts w:ascii="Times New Roman" w:hAnsi="Times New Roman"/>
        </w:rPr>
        <w:t>‌</w:t>
      </w:r>
      <w:r>
        <w:t>。</w:t>
      </w:r>
    </w:p>
    <w:p w14:paraId="1D32B0CF">
      <w:pPr>
        <w:pStyle w:val="2"/>
        <w:rPr>
          <w:rFonts w:ascii="Times New Roman" w:hAnsi="Times New Roman"/>
        </w:rPr>
      </w:pPr>
      <w:r>
        <w:t>技术应用</w:t>
      </w:r>
      <w:r>
        <w:rPr>
          <w:rFonts w:ascii="Times New Roman" w:hAnsi="Times New Roman"/>
        </w:rPr>
        <w:t>‌</w:t>
      </w:r>
      <w:r>
        <w:rPr>
          <w:rFonts w:hint="eastAsia"/>
        </w:rPr>
        <w:t>，</w:t>
      </w:r>
      <w:r>
        <w:t>国内外医院容灾机房技术均采用多种技术手段，包括但不限于远程镜像技术、快照技术、互连技术等，以实现数据的远程备份和快速恢复。国内医院容灾机房技术还特别关注服务器虚拟化设计，通过研究服务器设计、存储设备设计和服务器虚拟化管理设计，提高资源利用率和系统灵活性</w:t>
      </w:r>
      <w:r>
        <w:rPr>
          <w:rFonts w:ascii="Times New Roman" w:hAnsi="Times New Roman"/>
        </w:rPr>
        <w:t>‌</w:t>
      </w:r>
      <w:r>
        <w:t>。</w:t>
      </w:r>
    </w:p>
    <w:p w14:paraId="53E5597E">
      <w:pPr>
        <w:pStyle w:val="2"/>
        <w:rPr>
          <w:rFonts w:ascii="Times New Roman" w:hAnsi="Times New Roman"/>
        </w:rPr>
      </w:pPr>
      <w:r>
        <w:t>实施细节</w:t>
      </w:r>
      <w:r>
        <w:rPr>
          <w:rFonts w:ascii="Times New Roman" w:hAnsi="Times New Roman"/>
        </w:rPr>
        <w:t>‌</w:t>
      </w:r>
      <w:r>
        <w:rPr>
          <w:rFonts w:hint="eastAsia"/>
        </w:rPr>
        <w:t>，</w:t>
      </w:r>
      <w:r>
        <w:t>在实施细节上，国内外医院容灾机房建设均注重通信链路的设计和选择，考虑到距离支持、带宽能力等因素，以确保数据传输的可靠性和效率。国内医院容灾机房建设还强调数据全生命周期的安全管理，包括数据的收集、存储、传输、处理、使用、交换和销毁，采取备份、加密等措施加强数据的存储安全</w:t>
      </w:r>
      <w:r>
        <w:rPr>
          <w:rFonts w:ascii="Times New Roman" w:hAnsi="Times New Roman"/>
        </w:rPr>
        <w:t>‌</w:t>
      </w:r>
      <w:r>
        <w:t>。</w:t>
      </w:r>
    </w:p>
    <w:p w14:paraId="2E43A11C">
      <w:pPr>
        <w:pStyle w:val="2"/>
        <w:rPr>
          <w:rFonts w:hint="eastAsia"/>
        </w:rPr>
      </w:pPr>
      <w:r>
        <w:t>案例分析</w:t>
      </w:r>
      <w:r>
        <w:rPr>
          <w:rFonts w:ascii="Times New Roman" w:hAnsi="Times New Roman"/>
        </w:rPr>
        <w:t>‌</w:t>
      </w:r>
      <w:r>
        <w:rPr>
          <w:rFonts w:hint="eastAsia"/>
        </w:rPr>
        <w:t>，</w:t>
      </w:r>
      <w:r>
        <w:t>例如，TiDB技术提供了同城两中心容灾方案，通过自适应同步模式（Data Replication Auto Synchronous，简称DR Auto-Sync）实现核心业务系统的同城两中心灾备部署，确保了数据的一致性和系统的可用性</w:t>
      </w:r>
      <w:r>
        <w:rPr>
          <w:rFonts w:ascii="Times New Roman" w:hAnsi="Times New Roman"/>
        </w:rPr>
        <w:t>‌</w:t>
      </w:r>
      <w:r>
        <w:t>。</w:t>
      </w:r>
    </w:p>
    <w:p w14:paraId="0EF7FF39">
      <w:pPr>
        <w:pStyle w:val="2"/>
        <w:rPr>
          <w:rFonts w:hint="eastAsia"/>
        </w:rPr>
      </w:pPr>
      <w:r>
        <w:rPr>
          <w:rFonts w:hint="eastAsia"/>
        </w:rPr>
        <w:t>国内外医院容灾机房技术在设计理念、技术应用和实施细节上各有侧重，但共同目的是确保医院信息系统的安全、稳定运行，以及在灾难发生时能够迅速恢复服务。随着技术的发展和医院信息化建设的不断深入，这些技术将不断完善和优化，以适应日益增长的数据安全和业务连续性需求。</w:t>
      </w:r>
    </w:p>
    <w:p w14:paraId="0EB000A9">
      <w:pPr>
        <w:pStyle w:val="4"/>
        <w:rPr>
          <w:rFonts w:hint="eastAsia"/>
        </w:rPr>
      </w:pPr>
      <w:bookmarkStart w:id="18" w:name="_Toc176101072"/>
      <w:r>
        <w:rPr>
          <w:rFonts w:hint="eastAsia"/>
        </w:rPr>
        <w:t>技术方案</w:t>
      </w:r>
      <w:bookmarkEnd w:id="18"/>
    </w:p>
    <w:p w14:paraId="28B97F2E">
      <w:pPr>
        <w:pStyle w:val="5"/>
        <w:tabs>
          <w:tab w:val="left" w:pos="0"/>
          <w:tab w:val="left" w:pos="720"/>
        </w:tabs>
        <w:ind w:left="0"/>
        <w:rPr>
          <w:rFonts w:hint="eastAsia"/>
        </w:rPr>
      </w:pPr>
      <w:r>
        <w:rPr>
          <w:rFonts w:hint="eastAsia"/>
        </w:rPr>
        <w:t>系统架构</w:t>
      </w:r>
    </w:p>
    <w:p w14:paraId="6349D60D">
      <w:pPr>
        <w:rPr>
          <w:rFonts w:hint="eastAsia"/>
        </w:rPr>
      </w:pPr>
      <w:r>
        <w:rPr>
          <w:rFonts w:hint="eastAsia"/>
        </w:rPr>
        <w:t>容灾机房设备布局图：</w:t>
      </w:r>
    </w:p>
    <w:p w14:paraId="5505A6D7">
      <w:pPr>
        <w:pStyle w:val="2"/>
        <w:ind w:firstLine="0" w:firstLineChars="0"/>
        <w:rPr>
          <w:rFonts w:hint="eastAsia"/>
        </w:rPr>
      </w:pPr>
      <w:r>
        <w:drawing>
          <wp:inline distT="0" distB="0" distL="0" distR="0">
            <wp:extent cx="4995545" cy="5338445"/>
            <wp:effectExtent l="0" t="0" r="0" b="0"/>
            <wp:docPr id="17716658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65832" name="图片 1"/>
                    <pic:cNvPicPr>
                      <a:picLocks noChangeAspect="1"/>
                    </pic:cNvPicPr>
                  </pic:nvPicPr>
                  <pic:blipFill>
                    <a:blip r:embed="rId11"/>
                    <a:stretch>
                      <a:fillRect/>
                    </a:stretch>
                  </pic:blipFill>
                  <pic:spPr>
                    <a:xfrm rot="5400000">
                      <a:off x="0" y="0"/>
                      <a:ext cx="5000035" cy="5342916"/>
                    </a:xfrm>
                    <a:prstGeom prst="rect">
                      <a:avLst/>
                    </a:prstGeom>
                  </pic:spPr>
                </pic:pic>
              </a:graphicData>
            </a:graphic>
          </wp:inline>
        </w:drawing>
      </w:r>
    </w:p>
    <w:p w14:paraId="542BBE88">
      <w:pPr>
        <w:rPr>
          <w:rFonts w:hint="eastAsia"/>
        </w:rPr>
      </w:pPr>
      <w:r>
        <w:rPr>
          <w:rFonts w:hint="eastAsia"/>
        </w:rPr>
        <w:t>容灾机房设备布局图：</w:t>
      </w:r>
    </w:p>
    <w:p w14:paraId="78F0649D">
      <w:pPr>
        <w:ind w:firstLine="0" w:firstLineChars="0"/>
        <w:rPr>
          <w:rFonts w:hint="eastAsia" w:ascii="仿宋" w:hAnsi="仿宋"/>
          <w:b/>
          <w:bCs/>
          <w:sz w:val="28"/>
          <w:szCs w:val="24"/>
        </w:rPr>
      </w:pPr>
      <w:r>
        <w:drawing>
          <wp:inline distT="0" distB="0" distL="0" distR="0">
            <wp:extent cx="5299710" cy="3739515"/>
            <wp:effectExtent l="0" t="0" r="0" b="0"/>
            <wp:docPr id="17775436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43672"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25099" cy="3757424"/>
                    </a:xfrm>
                    <a:prstGeom prst="rect">
                      <a:avLst/>
                    </a:prstGeom>
                    <a:noFill/>
                    <a:ln>
                      <a:noFill/>
                    </a:ln>
                  </pic:spPr>
                </pic:pic>
              </a:graphicData>
            </a:graphic>
          </wp:inline>
        </w:drawing>
      </w:r>
    </w:p>
    <w:p w14:paraId="226A3C12">
      <w:pPr>
        <w:pStyle w:val="5"/>
        <w:tabs>
          <w:tab w:val="left" w:pos="0"/>
          <w:tab w:val="left" w:pos="720"/>
        </w:tabs>
        <w:ind w:left="0"/>
        <w:rPr>
          <w:rFonts w:hint="eastAsia"/>
        </w:rPr>
      </w:pPr>
      <w:r>
        <w:t>系统流程</w:t>
      </w:r>
    </w:p>
    <w:p w14:paraId="530D3D72">
      <w:pPr>
        <w:ind w:firstLine="0" w:firstLineChars="0"/>
        <w:rPr>
          <w:rFonts w:hint="eastAsia" w:ascii="仿宋" w:hAnsi="仿宋"/>
        </w:rPr>
      </w:pPr>
      <w:r>
        <w:drawing>
          <wp:inline distT="0" distB="0" distL="0" distR="0">
            <wp:extent cx="5278120" cy="3762375"/>
            <wp:effectExtent l="0" t="0" r="0" b="9525"/>
            <wp:docPr id="1914999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9932" name="图片 1"/>
                    <pic:cNvPicPr>
                      <a:picLocks noChangeAspect="1"/>
                    </pic:cNvPicPr>
                  </pic:nvPicPr>
                  <pic:blipFill>
                    <a:blip r:embed="rId13"/>
                    <a:stretch>
                      <a:fillRect/>
                    </a:stretch>
                  </pic:blipFill>
                  <pic:spPr>
                    <a:xfrm>
                      <a:off x="0" y="0"/>
                      <a:ext cx="5278120" cy="3762375"/>
                    </a:xfrm>
                    <a:prstGeom prst="rect">
                      <a:avLst/>
                    </a:prstGeom>
                  </pic:spPr>
                </pic:pic>
              </a:graphicData>
            </a:graphic>
          </wp:inline>
        </w:drawing>
      </w:r>
    </w:p>
    <w:p w14:paraId="3C15C10F">
      <w:pPr>
        <w:pStyle w:val="5"/>
        <w:tabs>
          <w:tab w:val="left" w:pos="0"/>
          <w:tab w:val="left" w:pos="720"/>
        </w:tabs>
        <w:ind w:left="0"/>
        <w:rPr>
          <w:rFonts w:hint="eastAsia"/>
        </w:rPr>
      </w:pPr>
      <w:r>
        <w:t>运行环境要求</w:t>
      </w:r>
    </w:p>
    <w:p w14:paraId="76CE3703">
      <w:pPr>
        <w:pStyle w:val="2"/>
        <w:rPr>
          <w:rFonts w:hint="eastAsia"/>
        </w:rPr>
      </w:pPr>
      <w:bookmarkStart w:id="19" w:name="_Hlk176097104"/>
      <w:r>
        <w:rPr>
          <w:rFonts w:hint="eastAsia"/>
        </w:rPr>
        <w:t>环境条件：温度和湿度，机房应保持适宜的温度和湿度，通常建议温度在18°C至27°C之间，湿度在35%至65%之间，以防止设备过热或静电问题。清洁度，机房应保持较高的清洁度，避免灰尘和污染物对设备的影响。</w:t>
      </w:r>
    </w:p>
    <w:p w14:paraId="09E52BCE">
      <w:pPr>
        <w:pStyle w:val="2"/>
        <w:rPr>
          <w:rFonts w:hint="eastAsia"/>
        </w:rPr>
      </w:pPr>
      <w:r>
        <w:rPr>
          <w:rFonts w:hint="eastAsia"/>
        </w:rPr>
        <w:t>电力供应：不间断电源（UPS），应配备UPS以确保在电力中断时关键系统的持续运行。备用电源，如柴油发电机，用于长时间的电力供应保障。电源分配，合理设计电源分配系统，包括双路电源输入和冗余配置，以提高供电的可靠性。</w:t>
      </w:r>
    </w:p>
    <w:p w14:paraId="185DCF6D">
      <w:pPr>
        <w:pStyle w:val="2"/>
        <w:rPr>
          <w:rFonts w:hint="eastAsia"/>
        </w:rPr>
      </w:pPr>
      <w:r>
        <w:rPr>
          <w:rFonts w:hint="eastAsia"/>
        </w:rPr>
        <w:t>冷却系统：空调系统，应安装高效、可靠的精密空调系统，确保机房内的温度和湿度稳定。热通道和冷通道，通过热通道和冷通道的设计，优化气流，提高冷却效率。</w:t>
      </w:r>
    </w:p>
    <w:p w14:paraId="319225C9">
      <w:pPr>
        <w:pStyle w:val="2"/>
        <w:rPr>
          <w:rFonts w:hint="eastAsia"/>
        </w:rPr>
      </w:pPr>
      <w:r>
        <w:rPr>
          <w:rFonts w:hint="eastAsia"/>
        </w:rPr>
        <w:t>防火和安全：防火系统，包括烟雾探测器、灭火系统和防火门等，确保在火灾发生时能迅速响应。物理安全，如门禁系统、监控摄像头和入侵检测系统，保护机房免受未经授权的访问。</w:t>
      </w:r>
    </w:p>
    <w:p w14:paraId="672F5BE3">
      <w:pPr>
        <w:pStyle w:val="2"/>
        <w:rPr>
          <w:rFonts w:hint="eastAsia"/>
        </w:rPr>
      </w:pPr>
      <w:r>
        <w:rPr>
          <w:rFonts w:hint="eastAsia"/>
        </w:rPr>
        <w:t>网络和通信：冗余网络，设计冗余的网络架构，包括冗余的网络设备和通信链路，以确保网络的高可用性。</w:t>
      </w:r>
    </w:p>
    <w:p w14:paraId="036AE91B">
      <w:pPr>
        <w:pStyle w:val="2"/>
        <w:rPr>
          <w:rFonts w:hint="eastAsia"/>
        </w:rPr>
      </w:pPr>
      <w:r>
        <w:rPr>
          <w:rFonts w:hint="eastAsia"/>
        </w:rPr>
        <w:t>电缆管理：合理规划电缆布线，使用高质量的电缆和连接器，确保网络传输的稳定性和安全性。</w:t>
      </w:r>
    </w:p>
    <w:p w14:paraId="70050935">
      <w:pPr>
        <w:pStyle w:val="2"/>
        <w:rPr>
          <w:rFonts w:hint="eastAsia"/>
        </w:rPr>
      </w:pPr>
      <w:r>
        <w:rPr>
          <w:rFonts w:hint="eastAsia"/>
        </w:rPr>
        <w:t>灾难恢复：备份和恢复策略，制定数据备份和灾难恢复计划，确保在数据丢失或设备故障时能迅速恢复业务。异地备份，考虑异地备份解决方案，以应对可能的自然灾害或其他无法预测的事件。</w:t>
      </w:r>
    </w:p>
    <w:p w14:paraId="108A4F3C">
      <w:pPr>
        <w:pStyle w:val="2"/>
        <w:rPr>
          <w:rFonts w:hint="eastAsia"/>
        </w:rPr>
      </w:pPr>
      <w:r>
        <w:rPr>
          <w:rFonts w:hint="eastAsia"/>
        </w:rPr>
        <w:t>合规性：遵守相关法规和行业标准，如HIPAA（美国健康保险流通与责任法案）、ISO 27001信息安全管理体系等，确保机房设计符合数据保护和隐私法规的要求。</w:t>
      </w:r>
    </w:p>
    <w:p w14:paraId="0D7D25EF">
      <w:pPr>
        <w:pStyle w:val="2"/>
        <w:rPr>
          <w:rFonts w:hint="eastAsia"/>
        </w:rPr>
      </w:pPr>
      <w:r>
        <w:rPr>
          <w:rFonts w:hint="eastAsia"/>
        </w:rPr>
        <w:t>可扩展性和灵活性：考虑未来可能的扩展需求，包括设备的增加和网络带宽的提升。</w:t>
      </w:r>
    </w:p>
    <w:bookmarkEnd w:id="19"/>
    <w:p w14:paraId="7DCBD27D">
      <w:pPr>
        <w:pStyle w:val="5"/>
        <w:tabs>
          <w:tab w:val="left" w:pos="0"/>
          <w:tab w:val="left" w:pos="720"/>
        </w:tabs>
        <w:ind w:left="0"/>
        <w:rPr>
          <w:rFonts w:hint="eastAsia" w:asciiTheme="minorEastAsia" w:hAnsiTheme="minorEastAsia" w:cstheme="minorEastAsia"/>
        </w:rPr>
      </w:pPr>
      <w:r>
        <w:t>系统功能介绍</w:t>
      </w:r>
    </w:p>
    <w:p w14:paraId="28AA1EB8">
      <w:pPr>
        <w:rPr>
          <w:rFonts w:hint="eastAsia"/>
        </w:rPr>
      </w:pPr>
      <w:r>
        <w:rPr>
          <w:rFonts w:hint="eastAsia"/>
        </w:rPr>
        <w:t>一、机房装修工程</w:t>
      </w:r>
    </w:p>
    <w:p w14:paraId="1FDDB42F">
      <w:pPr>
        <w:rPr>
          <w:rFonts w:hint="eastAsia"/>
        </w:rPr>
      </w:pPr>
      <w:r>
        <w:rPr>
          <w:rFonts w:hint="eastAsia"/>
        </w:rPr>
        <w:t>吊顶工程，吊顶采用，利旧原有铝合金微孔吊顶板，规格600*600*0.8mm。</w:t>
      </w:r>
    </w:p>
    <w:p w14:paraId="5A8473BE">
      <w:pPr>
        <w:rPr>
          <w:rFonts w:hint="eastAsia"/>
        </w:rPr>
      </w:pPr>
      <w:r>
        <w:rPr>
          <w:rFonts w:hint="eastAsia"/>
        </w:rPr>
        <w:t>地面工程，地面采用钢质抗静电活动地板，无框，规格600*600*32mm。地板的作用：管线敷设、静电泄漏。地板架空高度：300-350mm。地面防尘处理：采用环保防尘漆刷2遍。地面保温处理：采用20mm 橡塑保温棉板B1级，表层贴0.3mm镀锌铁皮。</w:t>
      </w:r>
    </w:p>
    <w:p w14:paraId="778BF8AF">
      <w:pPr>
        <w:rPr>
          <w:rFonts w:hint="eastAsia"/>
        </w:rPr>
      </w:pPr>
      <w:r>
        <w:rPr>
          <w:rFonts w:hint="eastAsia"/>
        </w:rPr>
        <w:t>墙面工程，铲除原有墙面的腻子、乳胶漆；重新刮腻子（二遍）、重新刷乳胶漆（二遍）。</w:t>
      </w:r>
    </w:p>
    <w:p w14:paraId="03EF2420">
      <w:pPr>
        <w:rPr>
          <w:rFonts w:hint="eastAsia"/>
        </w:rPr>
      </w:pPr>
      <w:r>
        <w:rPr>
          <w:rFonts w:hint="eastAsia"/>
        </w:rPr>
        <w:t>门窗工程，灾备机房机房门应保证最大设备能进出：选用甲级钢制防火门，规格1200*2200mm、900*2200mm。</w:t>
      </w:r>
    </w:p>
    <w:p w14:paraId="70BD56AE">
      <w:pPr>
        <w:rPr>
          <w:rFonts w:hint="eastAsia"/>
        </w:rPr>
      </w:pPr>
      <w:r>
        <w:rPr>
          <w:rFonts w:hint="eastAsia"/>
        </w:rPr>
        <w:t>机房承重，UPS电池、机柜等设备应做承重处理、采用50以上角钢焊接散力支架，以满足机房承重要求。</w:t>
      </w:r>
    </w:p>
    <w:p w14:paraId="6524B3B0">
      <w:pPr>
        <w:rPr>
          <w:rFonts w:hint="eastAsia"/>
        </w:rPr>
      </w:pPr>
      <w:r>
        <w:rPr>
          <w:rFonts w:hint="eastAsia"/>
        </w:rPr>
        <w:t>二、防雷接地及配电系统</w:t>
      </w:r>
    </w:p>
    <w:p w14:paraId="2B40C0C7">
      <w:pPr>
        <w:rPr>
          <w:rFonts w:hint="eastAsia"/>
        </w:rPr>
      </w:pPr>
      <w:r>
        <w:rPr>
          <w:rFonts w:hint="eastAsia"/>
        </w:rPr>
        <w:t>防雷系统：一级防雷—— 输出动力电至灾备机房的动力配电柜。</w:t>
      </w:r>
    </w:p>
    <w:p w14:paraId="4EB9C832">
      <w:pPr>
        <w:rPr>
          <w:rFonts w:hint="eastAsia"/>
        </w:rPr>
      </w:pPr>
      <w:r>
        <w:rPr>
          <w:rFonts w:hint="eastAsia"/>
        </w:rPr>
        <w:t>二级防雷—— 灾备机房配电箱市电输入,安装电源二级浪涌保护器：40KA。</w:t>
      </w:r>
    </w:p>
    <w:p w14:paraId="2B651FF0">
      <w:pPr>
        <w:rPr>
          <w:rFonts w:hint="eastAsia"/>
        </w:rPr>
      </w:pPr>
      <w:r>
        <w:rPr>
          <w:rFonts w:hint="eastAsia"/>
        </w:rPr>
        <w:t>三级防雷——  灾备机房配电箱UPS输出，安装电源二级浪涌保护器：20KA。</w:t>
      </w:r>
    </w:p>
    <w:p w14:paraId="6A01AEDF">
      <w:pPr>
        <w:rPr>
          <w:rFonts w:hint="eastAsia"/>
        </w:rPr>
      </w:pPr>
      <w:r>
        <w:rPr>
          <w:rFonts w:hint="eastAsia"/>
        </w:rPr>
        <w:t>接地系统，采用30*3mm紫铜排做接地铜排，采用50mm</w:t>
      </w:r>
      <w:r>
        <w:rPr>
          <w:rFonts w:ascii="Calibri" w:hAnsi="Calibri" w:cs="Calibri"/>
        </w:rPr>
        <w:t>²</w:t>
      </w:r>
      <w:r>
        <w:rPr>
          <w:rFonts w:hint="eastAsia" w:ascii="仿宋" w:hAnsi="仿宋" w:cs="仿宋"/>
        </w:rPr>
        <w:t>接地线接至新建地网，机房内的地板脚、墙面龙骨、顶面龙骨、机柜等设备应进行等电位联结。</w:t>
      </w:r>
    </w:p>
    <w:p w14:paraId="34678184">
      <w:pPr>
        <w:rPr>
          <w:rFonts w:hint="eastAsia"/>
        </w:rPr>
      </w:pPr>
      <w:r>
        <w:rPr>
          <w:rFonts w:hint="eastAsia"/>
        </w:rPr>
        <w:t>UPS不间断电源，利旧1台UPS，蓄电池满载后备时间不小于60分钟。</w:t>
      </w:r>
    </w:p>
    <w:p w14:paraId="0B8742C4">
      <w:pPr>
        <w:rPr>
          <w:rFonts w:hint="eastAsia"/>
        </w:rPr>
      </w:pPr>
      <w:r>
        <w:rPr>
          <w:rFonts w:hint="eastAsia"/>
        </w:rPr>
        <w:t>照明设计，灯具选择，高效节能LED平板灯，主机房600*600，其他区域600*600，灯具分区分组控制。</w:t>
      </w:r>
    </w:p>
    <w:p w14:paraId="7D665BF9">
      <w:pPr>
        <w:rPr>
          <w:rFonts w:hint="eastAsia"/>
        </w:rPr>
      </w:pPr>
      <w:r>
        <w:rPr>
          <w:rFonts w:hint="eastAsia"/>
        </w:rPr>
        <w:t>配电系统设计，灾备机房机房总电源由专业强电单位引入专用电缆至配电间市电配电柜 ，再进行二次供电分配设计。整个配电系统采用放射式配电，各用电设备不同类别采用分路控制，整个配电系统参数如下：</w:t>
      </w:r>
    </w:p>
    <w:p w14:paraId="1EA87382">
      <w:pPr>
        <w:rPr>
          <w:rFonts w:hint="eastAsia"/>
        </w:rPr>
      </w:pPr>
      <w:r>
        <w:rPr>
          <w:rFonts w:hint="eastAsia"/>
        </w:rPr>
        <w:t>（1）</w:t>
      </w:r>
      <w:r>
        <w:rPr>
          <w:rFonts w:hint="eastAsia"/>
        </w:rPr>
        <w:tab/>
      </w:r>
      <w:r>
        <w:rPr>
          <w:rFonts w:hint="eastAsia"/>
        </w:rPr>
        <w:t>配电系统频率：50Hz；</w:t>
      </w:r>
    </w:p>
    <w:p w14:paraId="31068D52">
      <w:pPr>
        <w:rPr>
          <w:rFonts w:hint="eastAsia"/>
        </w:rPr>
      </w:pPr>
      <w:r>
        <w:rPr>
          <w:rFonts w:hint="eastAsia"/>
        </w:rPr>
        <w:t>（2）</w:t>
      </w:r>
      <w:r>
        <w:rPr>
          <w:rFonts w:hint="eastAsia"/>
        </w:rPr>
        <w:tab/>
      </w:r>
      <w:r>
        <w:rPr>
          <w:rFonts w:hint="eastAsia"/>
        </w:rPr>
        <w:t>电压：380V/220V；</w:t>
      </w:r>
    </w:p>
    <w:p w14:paraId="1E874AC2">
      <w:pPr>
        <w:rPr>
          <w:rFonts w:hint="eastAsia"/>
        </w:rPr>
      </w:pPr>
      <w:r>
        <w:rPr>
          <w:rFonts w:hint="eastAsia"/>
        </w:rPr>
        <w:t>（3）</w:t>
      </w:r>
      <w:r>
        <w:rPr>
          <w:rFonts w:hint="eastAsia"/>
        </w:rPr>
        <w:tab/>
      </w:r>
      <w:r>
        <w:rPr>
          <w:rFonts w:hint="eastAsia"/>
        </w:rPr>
        <w:t>线制：三相五线制/单相三线制。</w:t>
      </w:r>
    </w:p>
    <w:p w14:paraId="10F57A5B">
      <w:pPr>
        <w:rPr>
          <w:rFonts w:hint="eastAsia"/>
        </w:rPr>
      </w:pPr>
      <w:r>
        <w:rPr>
          <w:rFonts w:hint="eastAsia"/>
        </w:rPr>
        <w:t>（4）</w:t>
      </w:r>
      <w:r>
        <w:rPr>
          <w:rFonts w:hint="eastAsia"/>
        </w:rPr>
        <w:tab/>
      </w:r>
      <w:r>
        <w:rPr>
          <w:rFonts w:hint="eastAsia"/>
        </w:rPr>
        <w:t>配电方式：所有机柜均采用独立的双路UPS供电回路，分路独立控制，两路互为备份。</w:t>
      </w:r>
    </w:p>
    <w:p w14:paraId="0E2AE808">
      <w:pPr>
        <w:rPr>
          <w:rFonts w:hint="eastAsia"/>
        </w:rPr>
      </w:pPr>
      <w:r>
        <w:rPr>
          <w:rFonts w:hint="eastAsia"/>
        </w:rPr>
        <w:t>供电回路分类如下：</w:t>
      </w:r>
    </w:p>
    <w:p w14:paraId="6B9DB4CE">
      <w:pPr>
        <w:rPr>
          <w:rFonts w:hint="eastAsia"/>
        </w:rPr>
      </w:pPr>
      <w:r>
        <w:rPr>
          <w:rFonts w:hint="eastAsia"/>
        </w:rPr>
        <w:t>（1）</w:t>
      </w:r>
      <w:r>
        <w:rPr>
          <w:rFonts w:hint="eastAsia"/>
        </w:rPr>
        <w:tab/>
      </w:r>
      <w:r>
        <w:rPr>
          <w:rFonts w:hint="eastAsia"/>
        </w:rPr>
        <w:t>UPS供电总回路分为</w:t>
      </w:r>
    </w:p>
    <w:p w14:paraId="371CAEA6">
      <w:pPr>
        <w:rPr>
          <w:rFonts w:hint="eastAsia"/>
        </w:rPr>
      </w:pPr>
      <w:r>
        <w:t></w:t>
      </w:r>
      <w:r>
        <w:tab/>
      </w:r>
      <w:r>
        <w:t>网络列头机柜专用回路、备用回路；</w:t>
      </w:r>
    </w:p>
    <w:p w14:paraId="0B99D221">
      <w:pPr>
        <w:rPr>
          <w:rFonts w:hint="eastAsia"/>
        </w:rPr>
      </w:pPr>
      <w:r>
        <w:t></w:t>
      </w:r>
      <w:r>
        <w:tab/>
      </w:r>
      <w:r>
        <w:t>服务器机柜专用回路、备用回路；</w:t>
      </w:r>
    </w:p>
    <w:p w14:paraId="26509727">
      <w:pPr>
        <w:rPr>
          <w:rFonts w:hint="eastAsia"/>
        </w:rPr>
      </w:pPr>
      <w:r>
        <w:t></w:t>
      </w:r>
      <w:r>
        <w:tab/>
      </w:r>
      <w:r>
        <w:t>网络交换机柜专用回路、备用回路；</w:t>
      </w:r>
    </w:p>
    <w:p w14:paraId="7C455BAA">
      <w:pPr>
        <w:rPr>
          <w:rFonts w:hint="eastAsia"/>
        </w:rPr>
      </w:pPr>
      <w:r>
        <w:t></w:t>
      </w:r>
      <w:r>
        <w:tab/>
      </w:r>
      <w:r>
        <w:t>机房备用照明专用回路；</w:t>
      </w:r>
    </w:p>
    <w:p w14:paraId="510CC63B">
      <w:pPr>
        <w:rPr>
          <w:rFonts w:hint="eastAsia"/>
        </w:rPr>
      </w:pPr>
      <w:r>
        <w:t></w:t>
      </w:r>
      <w:r>
        <w:tab/>
      </w:r>
      <w:r>
        <w:t>消防、门禁、监控、环控等设备供电</w:t>
      </w:r>
    </w:p>
    <w:p w14:paraId="119C7204">
      <w:pPr>
        <w:rPr>
          <w:rFonts w:hint="eastAsia"/>
        </w:rPr>
      </w:pPr>
      <w:r>
        <w:rPr>
          <w:rFonts w:hint="eastAsia"/>
        </w:rPr>
        <w:t>（2）</w:t>
      </w:r>
      <w:r>
        <w:rPr>
          <w:rFonts w:hint="eastAsia"/>
        </w:rPr>
        <w:tab/>
      </w:r>
      <w:r>
        <w:rPr>
          <w:rFonts w:hint="eastAsia"/>
        </w:rPr>
        <w:t>动力供电总回路分为</w:t>
      </w:r>
    </w:p>
    <w:p w14:paraId="61753687">
      <w:pPr>
        <w:rPr>
          <w:rFonts w:hint="eastAsia"/>
        </w:rPr>
      </w:pPr>
      <w:r>
        <w:t></w:t>
      </w:r>
      <w:r>
        <w:tab/>
      </w:r>
      <w:r>
        <w:t>机房空调专用回路；</w:t>
      </w:r>
    </w:p>
    <w:p w14:paraId="2D6A7D12">
      <w:pPr>
        <w:rPr>
          <w:rFonts w:hint="eastAsia"/>
        </w:rPr>
      </w:pPr>
      <w:r>
        <w:t></w:t>
      </w:r>
      <w:r>
        <w:tab/>
      </w:r>
      <w:r>
        <w:t>市电照明专用回路；</w:t>
      </w:r>
    </w:p>
    <w:p w14:paraId="21932207">
      <w:pPr>
        <w:rPr>
          <w:rFonts w:hint="eastAsia"/>
        </w:rPr>
      </w:pPr>
      <w:r>
        <w:t></w:t>
      </w:r>
      <w:r>
        <w:tab/>
      </w:r>
      <w:r>
        <w:t>机房市电维修回路；</w:t>
      </w:r>
    </w:p>
    <w:p w14:paraId="29CE5E46">
      <w:pPr>
        <w:rPr>
          <w:rFonts w:hint="eastAsia"/>
        </w:rPr>
      </w:pPr>
      <w:r>
        <w:rPr>
          <w:rFonts w:hint="eastAsia"/>
        </w:rPr>
        <w:t>配电线路，强电电缆采用地板下走线方式，采用单独回路直接配至各用电设备，每个回路采用独立的电缆。</w:t>
      </w:r>
    </w:p>
    <w:p w14:paraId="5BE79D02">
      <w:pPr>
        <w:rPr>
          <w:rFonts w:hint="eastAsia"/>
        </w:rPr>
      </w:pPr>
      <w:r>
        <w:rPr>
          <w:rFonts w:hint="eastAsia"/>
        </w:rPr>
        <w:t>（1）</w:t>
      </w:r>
      <w:r>
        <w:rPr>
          <w:rFonts w:hint="eastAsia"/>
        </w:rPr>
        <w:tab/>
      </w:r>
      <w:r>
        <w:rPr>
          <w:rFonts w:hint="eastAsia"/>
        </w:rPr>
        <w:t>机柜线缆采用阻燃电缆。</w:t>
      </w:r>
    </w:p>
    <w:p w14:paraId="2D0B7974">
      <w:pPr>
        <w:rPr>
          <w:rFonts w:hint="eastAsia"/>
        </w:rPr>
      </w:pPr>
      <w:r>
        <w:rPr>
          <w:rFonts w:hint="eastAsia"/>
        </w:rPr>
        <w:t>（2）</w:t>
      </w:r>
      <w:r>
        <w:rPr>
          <w:rFonts w:hint="eastAsia"/>
        </w:rPr>
        <w:tab/>
      </w:r>
      <w:r>
        <w:rPr>
          <w:rFonts w:hint="eastAsia"/>
        </w:rPr>
        <w:t>市电维修及空调线缆采用阻燃电线。</w:t>
      </w:r>
    </w:p>
    <w:p w14:paraId="661A23ED">
      <w:pPr>
        <w:rPr>
          <w:rFonts w:hint="eastAsia"/>
        </w:rPr>
      </w:pPr>
      <w:r>
        <w:rPr>
          <w:rFonts w:hint="eastAsia"/>
        </w:rPr>
        <w:t>（3）</w:t>
      </w:r>
      <w:r>
        <w:rPr>
          <w:rFonts w:hint="eastAsia"/>
        </w:rPr>
        <w:tab/>
      </w:r>
      <w:r>
        <w:rPr>
          <w:rFonts w:hint="eastAsia"/>
        </w:rPr>
        <w:t>照明线路采用阻燃电线。</w:t>
      </w:r>
    </w:p>
    <w:p w14:paraId="7919F7D7">
      <w:pPr>
        <w:rPr>
          <w:rFonts w:hint="eastAsia"/>
        </w:rPr>
      </w:pPr>
      <w:r>
        <w:rPr>
          <w:rFonts w:hint="eastAsia"/>
        </w:rPr>
        <w:t>系统插座，机柜负载配电线路按国标并留有余量，机房内所有计算机和网络设备的电源采用工业连接器连接，墙面维修插座选用五孔带接地插座。</w:t>
      </w:r>
    </w:p>
    <w:p w14:paraId="1881CCAC">
      <w:pPr>
        <w:rPr>
          <w:rFonts w:hint="eastAsia"/>
        </w:rPr>
      </w:pPr>
      <w:r>
        <w:rPr>
          <w:rFonts w:hint="eastAsia"/>
        </w:rPr>
        <w:t>（1）</w:t>
      </w:r>
      <w:r>
        <w:rPr>
          <w:rFonts w:hint="eastAsia"/>
        </w:rPr>
        <w:tab/>
      </w:r>
      <w:r>
        <w:rPr>
          <w:rFonts w:hint="eastAsia"/>
        </w:rPr>
        <w:t>PDU管理器：安装10口16A。</w:t>
      </w:r>
    </w:p>
    <w:p w14:paraId="220D107C">
      <w:pPr>
        <w:rPr>
          <w:rFonts w:hint="eastAsia"/>
        </w:rPr>
      </w:pPr>
      <w:r>
        <w:rPr>
          <w:rFonts w:hint="eastAsia"/>
        </w:rPr>
        <w:t>（2）</w:t>
      </w:r>
      <w:r>
        <w:rPr>
          <w:rFonts w:hint="eastAsia"/>
        </w:rPr>
        <w:tab/>
      </w:r>
      <w:r>
        <w:rPr>
          <w:rFonts w:hint="eastAsia"/>
        </w:rPr>
        <w:t>维修插座：采用10A五孔带接地插座。</w:t>
      </w:r>
    </w:p>
    <w:p w14:paraId="6E40673A">
      <w:pPr>
        <w:rPr>
          <w:rFonts w:hint="eastAsia"/>
        </w:rPr>
      </w:pPr>
      <w:r>
        <w:rPr>
          <w:rFonts w:hint="eastAsia"/>
        </w:rPr>
        <w:t>（3）</w:t>
      </w:r>
      <w:r>
        <w:rPr>
          <w:rFonts w:hint="eastAsia"/>
        </w:rPr>
        <w:tab/>
      </w:r>
      <w:r>
        <w:rPr>
          <w:rFonts w:hint="eastAsia"/>
        </w:rPr>
        <w:t>精密空调电源：精密空调采用阻燃电缆直接连接至端子。</w:t>
      </w:r>
    </w:p>
    <w:p w14:paraId="5A3652D6">
      <w:pPr>
        <w:rPr>
          <w:rFonts w:hint="eastAsia"/>
        </w:rPr>
      </w:pPr>
      <w:r>
        <w:rPr>
          <w:rFonts w:hint="eastAsia"/>
        </w:rPr>
        <w:t>（4）</w:t>
      </w:r>
      <w:r>
        <w:rPr>
          <w:rFonts w:hint="eastAsia"/>
        </w:rPr>
        <w:tab/>
      </w:r>
      <w:r>
        <w:rPr>
          <w:rFonts w:hint="eastAsia"/>
        </w:rPr>
        <w:t>普通空调电源：采用10A五孔带接地插座。</w:t>
      </w:r>
    </w:p>
    <w:p w14:paraId="1C909EEC">
      <w:pPr>
        <w:rPr>
          <w:rFonts w:hint="eastAsia"/>
        </w:rPr>
      </w:pPr>
      <w:r>
        <w:rPr>
          <w:rFonts w:hint="eastAsia"/>
        </w:rPr>
        <w:t>三、气体灭火控制系统</w:t>
      </w:r>
    </w:p>
    <w:p w14:paraId="2874C762">
      <w:pPr>
        <w:rPr>
          <w:rFonts w:hint="eastAsia"/>
        </w:rPr>
      </w:pPr>
      <w:r>
        <w:rPr>
          <w:rFonts w:hint="eastAsia"/>
        </w:rPr>
        <w:t>主要对灾备机房进行七氟丙烷气体自动灭火系统无管网设计。</w:t>
      </w:r>
    </w:p>
    <w:p w14:paraId="328C34A7">
      <w:pPr>
        <w:rPr>
          <w:rFonts w:hint="eastAsia"/>
        </w:rPr>
      </w:pPr>
      <w:r>
        <w:rPr>
          <w:rFonts w:hint="eastAsia"/>
        </w:rPr>
        <w:t>气体报警控制部分，采用气体灭火控制器配智能光电感烟（温）探测器、紧急启停按钮、声光报警器、放气指示灯、控制模块等，实现火灾自动报警及气体灭火联动控制功能。</w:t>
      </w:r>
    </w:p>
    <w:p w14:paraId="547E3D2C">
      <w:pPr>
        <w:rPr>
          <w:rFonts w:hint="eastAsia"/>
        </w:rPr>
      </w:pPr>
      <w:r>
        <w:rPr>
          <w:rFonts w:hint="eastAsia"/>
        </w:rPr>
        <w:t>气体灭火控制部分，主机房、配电间灭火装置选用七氟丙烷无管网气体灭火装置，吊顶内分别设置感烟（温）探测器。</w:t>
      </w:r>
    </w:p>
    <w:p w14:paraId="064C56EA">
      <w:pPr>
        <w:rPr>
          <w:rFonts w:hint="eastAsia"/>
        </w:rPr>
      </w:pPr>
      <w:r>
        <w:rPr>
          <w:rFonts w:hint="eastAsia"/>
        </w:rPr>
        <w:t>四、环境监控系统</w:t>
      </w:r>
    </w:p>
    <w:p w14:paraId="52851A96">
      <w:pPr>
        <w:rPr>
          <w:rFonts w:hint="eastAsia"/>
        </w:rPr>
      </w:pPr>
      <w:r>
        <w:rPr>
          <w:rFonts w:hint="eastAsia"/>
        </w:rPr>
        <w:t>实现对机房设备环境的集中监控，机房所监控的智能设备或子系统主要包括：精密空调监控、UPS监控、供配电、机房的温湿度监测、漏水监测、视频监控、门禁等。系统建立可以扩充的整体平台，能够实现子系统之间的联动，实现手机短信等报警时。</w:t>
      </w:r>
    </w:p>
    <w:p w14:paraId="71F6BEA5">
      <w:pPr>
        <w:rPr>
          <w:rFonts w:hint="eastAsia"/>
        </w:rPr>
      </w:pPr>
      <w:r>
        <w:rPr>
          <w:rFonts w:hint="eastAsia"/>
        </w:rPr>
        <w:t>五、信息网络及网络安全系统</w:t>
      </w:r>
    </w:p>
    <w:p w14:paraId="52EF3126">
      <w:pPr>
        <w:rPr>
          <w:rFonts w:hint="eastAsia"/>
        </w:rPr>
      </w:pPr>
      <w:r>
        <w:rPr>
          <w:rFonts w:hint="eastAsia"/>
        </w:rPr>
        <w:t>防火墙：主要在于及时发现并处理网络运行时可能存在的安全风险、数据传输等问题，其中处理措施包括隔离与保护，同时可对计算机网络安全当中的各项操作实施记录与检测，以确保计算机网络运行的安全性，保障资料与信息的完整性</w:t>
      </w:r>
    </w:p>
    <w:p w14:paraId="21F59E7F">
      <w:pPr>
        <w:rPr>
          <w:rFonts w:hint="eastAsia"/>
        </w:rPr>
      </w:pPr>
      <w:r>
        <w:rPr>
          <w:rFonts w:hint="eastAsia"/>
        </w:rPr>
        <w:t>核心交换机电路保护系统：主机电路安全防护系统，适用于保护各行各业的220V电子电气设备。产品采用三级EMI滤波电路设计，具有智能防雷和浪涌保护功能，可以实时监测输入电流、电压、频率、功率，监测所连接用电设备的漏电状态，监测接地通断、防雷器状态、防雷器寿命以及环境温湿度、烟感、水浸等。并且支持设备漏电、过载、过欠压、接地失效、防雷器失效、环境超标等联动保护功能。同时，产品可以滤除电路中的杂波噪声和高频干扰，降低电磁辐射，提高信号的传输质量，避免信号受到干扰而导致数据传输出错、输出音质和画面质量下降，以及抑制电源高频电压浸入从而稳定电压，保障设备良好稳定运行，并延长用电设备的使用寿命。智能物联网安全感知与管理平台，可以实时接收告警信息，可以远程实时监控、管理、在线运维、数据存储备份、数据分析、GIS地图定位、大屏展示、故障报修等，实现智能化运维管理。实时监测与保护用电设备，事前防患于未然。避免因为雷击、浪涌、电流电压不稳、环境超标、杂波噪声和高频干扰等问题造成用电设备损坏、干扰、过早老化、寿命缩短、质量下降，以及设备漏电造成人身安全、电气火灾等风险隐患。保障工作和生产，保障人身安全，增加用电设备的在线时间和使用寿命，减少损失。提升管理效率，节省运维成本。</w:t>
      </w:r>
    </w:p>
    <w:p w14:paraId="4BD55CE2">
      <w:pPr>
        <w:rPr>
          <w:rFonts w:hint="eastAsia"/>
        </w:rPr>
      </w:pPr>
      <w:r>
        <w:rPr>
          <w:rFonts w:hint="eastAsia"/>
        </w:rPr>
        <w:t>备用核心交换机：主要承载灾备机房备用网络的数据传输，保证在应急情况下能够持续提供网络不中断服务。</w:t>
      </w:r>
    </w:p>
    <w:p w14:paraId="118FB1CD">
      <w:pPr>
        <w:rPr>
          <w:rFonts w:hint="eastAsia"/>
        </w:rPr>
      </w:pPr>
      <w:r>
        <w:rPr>
          <w:rFonts w:hint="eastAsia"/>
        </w:rPr>
        <w:t>服务器交换机：主要承载服务器数据传输。</w:t>
      </w:r>
    </w:p>
    <w:p w14:paraId="7365B18C">
      <w:pPr>
        <w:rPr>
          <w:rFonts w:hint="eastAsia"/>
        </w:rPr>
      </w:pPr>
      <w:r>
        <w:rPr>
          <w:rFonts w:hint="eastAsia"/>
        </w:rPr>
        <w:t>六、数据及应用备份系统</w:t>
      </w:r>
    </w:p>
    <w:p w14:paraId="410DF242">
      <w:pPr>
        <w:rPr>
          <w:rFonts w:hint="eastAsia"/>
        </w:rPr>
      </w:pPr>
      <w:r>
        <w:rPr>
          <w:rFonts w:hint="eastAsia"/>
        </w:rPr>
        <w:t>备份一体机（含备份软件）：机架式标准2U12盘位设备，配2颗国产X86架构2.5GHz 16core CPU，配 128GB 内存，标配 2*480G SSD 盘做系统盘，配4个千兆网络端口和2个万兆光口，配置12块4TB企业及磁盘；存储备份系统为专用基于Linux的64位嵌入式系统非ESXi、Openstack和Windows等虚拟化架构，保证备份系统底层安全和性能；本次配置不低于20TB数据保护容量授权，包含不限制数量的定时备份代理、实时备份代理，实时复制代理。支持对Oracle、DB2、MySQL、MariaDB、Sybase、PostgreSQL、MongoDB、SQL Server、Cache等主流数据库进行在线备份保护，备份任务配置过程全部图形化向导指引完成，可在图形化界面选择相应数据库，无需编写脚本。支持达梦、人大金仓、神舟通用、南大通用、瀚高和优炫等国产化数据库备份，支持阿里云RDS、TDSQL、OpenGuass、MongDB等；支持Windows和Linux平台下的文件系统的卷级备份功能，以整卷为单位进行数据备份，提升海量小文件环境下的备份效率。支持整卷恢复和单文件目录级别的细粒度恢复。持密钥加密和密钥更新，避免密钥外泄引起数据泄露，提高系统和数据安全性，提升传输过程以及存储的安全性。支持对备份数据进行加密传输和存储，支持AES256和SM4两种加密算法，提升传输过程以及存储的安全性；数据传输支持Open-SSL 的TLS 双向认证和加密，认证证书不低于2048位。支持永久增量备份，在首次完全备份后，后续所有的备份均为增量级别的备份。每次的增量备份均与上次备份后的原生格式副本数据进行合并，形成一份全新的原生格式的生产数据副本。不仅能够提高备份和恢复效率，而且支持删除任意中间完全备份时间点，不会影响后续的时间点恢复，提高数据安全性。提供防勒索病毒的能力，通过不可变存储功能避免病毒篡改、删除存储数据，支持强制数据保留策略，通过root/administrator 账号无法访问、浏览、删除这些数据所在的 RAID、LVM、文件系统和磁盘，从而达到抵御勒索病毒攻击的目的。支持并行重复数据删除，通过在多个不同的节点上构建指纹池，并将指纹并行分布于多个节点，有效解决单点性能和存储空间压力问题。备份系统在对Oracle备份时（含OracleRAC），可通过web界面进行备份通道数、FilePerSet、备份跳过数据文件坏块、BLKsize、Maxopenfile等多样化参数配置，兼容各种生产环境和备份需求。为保证核心系统的数据丢失量最低，备份系统配置Oracle和MySQL的持续日志实时备份保护，保证尽可能近的数据恢复时间点。支持系统管理员、审计管理员、安全管理员、租户、操作员和巡检员六类角色，通过分权管理，提升备份系统的管理安全性。支持设置数据复制窗口，在非数据复制窗口期，复制设备之间网络物理隔离。避免非数据复制时间段，灾备设备服务对外暴露而产生的安全风险。具备数据一致性校验功能，针对备份对象支持手工选择一致性校验算法，至少包含MD5、CRC32等。具备备份数据的安全管理机制，在通过其他备份系统进行数据恢复时需要得到现有备份系统的本地授权许可后，才可以浏览、恢复本地传输过去的备份数据，最大限度避免备份数据的泄密可能。提供独立部署的备份统一管理平台，实现对灾备节点运维管理，提升灾备系统可用、灾备资源可用、可恢复能力，帮助医院灾备扩容决策、灾难恢复能力评估、可视化展示灾备成效等。支持对管理员提供灾备平台全局运行情况概览（资源用量、灾备机房拓扑等）。通过统一管理平台实现对系统管理员、安全管理员、审计管理员、租户、普通用户等用户日志查看和分析，支持设置日志保留策略。通过统一管理平台支持以邮件告警的方式，针对于灾备系统的平台运行异常情况、硬件故障、软件故障等等信息及时通知管理员。</w:t>
      </w:r>
    </w:p>
    <w:p w14:paraId="1CEDCD9C">
      <w:pPr>
        <w:rPr>
          <w:rFonts w:hint="eastAsia"/>
        </w:rPr>
      </w:pPr>
      <w:r>
        <w:rPr>
          <w:rFonts w:hint="eastAsia"/>
        </w:rPr>
        <w:t>应用服务器：承载HIS等业务系统应用级备份部署。</w:t>
      </w:r>
    </w:p>
    <w:p w14:paraId="622D27A1">
      <w:pPr>
        <w:rPr>
          <w:rFonts w:hint="eastAsia"/>
        </w:rPr>
      </w:pPr>
      <w:r>
        <w:rPr>
          <w:rFonts w:hint="eastAsia"/>
        </w:rPr>
        <w:t>七、综合布线系统</w:t>
      </w:r>
    </w:p>
    <w:p w14:paraId="27436DE3">
      <w:pPr>
        <w:rPr>
          <w:rFonts w:hint="eastAsia" w:asciiTheme="minorEastAsia" w:hAnsiTheme="minorEastAsia" w:cstheme="minorEastAsia"/>
        </w:rPr>
      </w:pPr>
      <w:r>
        <w:rPr>
          <w:rFonts w:hint="eastAsia"/>
        </w:rPr>
        <w:t>主干网络采用双核心、双汇聚、万兆至接入层，其中核心交换机在数据中心机房与灾备机房进行异地部署；双核心、双汇聚采用虚拟化做堆叠，各汇聚层双链路万兆链接至双核心，接入层交换机双链路接至双汇聚。其中中心机房至灾备机房采用2根48芯单模光缆，各楼宇汇聚点通过24芯光纤接入灾备机房。</w:t>
      </w:r>
    </w:p>
    <w:p w14:paraId="7545DE7D">
      <w:pPr>
        <w:pStyle w:val="3"/>
        <w:rPr>
          <w:rFonts w:hint="eastAsia"/>
        </w:rPr>
      </w:pPr>
      <w:bookmarkStart w:id="20" w:name="_Toc176101073"/>
      <w:r>
        <w:rPr>
          <w:rFonts w:hint="eastAsia"/>
        </w:rPr>
        <w:t>环保、消防、职业安全、职业卫生和节能</w:t>
      </w:r>
      <w:bookmarkEnd w:id="20"/>
    </w:p>
    <w:p w14:paraId="1EB16616">
      <w:pPr>
        <w:pStyle w:val="4"/>
        <w:rPr>
          <w:rFonts w:hint="eastAsia"/>
        </w:rPr>
      </w:pPr>
      <w:bookmarkStart w:id="21" w:name="_Toc176101074"/>
      <w:r>
        <w:rPr>
          <w:rFonts w:hint="eastAsia"/>
        </w:rPr>
        <w:t>环境影响和环保措施</w:t>
      </w:r>
      <w:bookmarkEnd w:id="21"/>
    </w:p>
    <w:p w14:paraId="359F6950">
      <w:pPr>
        <w:pStyle w:val="12"/>
        <w:ind w:firstLine="520"/>
        <w:rPr>
          <w:rFonts w:hint="eastAsia"/>
        </w:rPr>
      </w:pPr>
      <w:r>
        <w:rPr>
          <w:rFonts w:hint="eastAsia"/>
        </w:rPr>
        <w:t>本项目建设不对环境造成影响，不产生污染。但要保证所选设备和机房局部空间无污染，符合消防安全要求，选用绿色电脑、外设和绿色节能照明光源。机房建设工程遵循国家机房设计标准规范的要求。</w:t>
      </w:r>
    </w:p>
    <w:p w14:paraId="23FEDF04">
      <w:pPr>
        <w:pStyle w:val="12"/>
        <w:ind w:firstLine="520"/>
        <w:rPr>
          <w:rFonts w:hint="eastAsia"/>
        </w:rPr>
      </w:pPr>
      <w:r>
        <w:rPr>
          <w:rFonts w:hint="eastAsia"/>
        </w:rPr>
        <w:t>项目场地建设遵循建设部颁布的《民用建筑工程室内环境污染控制规定》（</w:t>
      </w:r>
      <w:r>
        <w:t>GB50352</w:t>
      </w:r>
      <w:r>
        <w:rPr>
          <w:rFonts w:hint="eastAsia"/>
        </w:rPr>
        <w:t>），国家质量监督检验检疫总局颁布的《室内装饰装修材料有害物质限量》等国家标准。</w:t>
      </w:r>
    </w:p>
    <w:p w14:paraId="4F4E258A">
      <w:pPr>
        <w:pStyle w:val="12"/>
        <w:ind w:firstLine="520"/>
        <w:rPr>
          <w:rFonts w:hint="eastAsia"/>
        </w:rPr>
      </w:pPr>
      <w:r>
        <w:rPr>
          <w:rFonts w:hint="eastAsia"/>
        </w:rPr>
        <w:t>场地建设后，系统运行过程中不产生有害废气、废水、废渣等物质，不会污染环境。而空调、风机等硬件基本选用低噪声设备，并采取双层玻璃、隔离屏蔽等有效的消声措施。电磁辐射完全符合国际标准，对人体健康并不造成较大威胁。</w:t>
      </w:r>
    </w:p>
    <w:p w14:paraId="736BF12B">
      <w:pPr>
        <w:pStyle w:val="4"/>
        <w:rPr>
          <w:rFonts w:hint="eastAsia"/>
        </w:rPr>
      </w:pPr>
      <w:bookmarkStart w:id="22" w:name="_Toc176101075"/>
      <w:r>
        <w:rPr>
          <w:rFonts w:hint="eastAsia"/>
        </w:rPr>
        <w:t>消防措施</w:t>
      </w:r>
      <w:bookmarkEnd w:id="22"/>
    </w:p>
    <w:p w14:paraId="2F248A4A">
      <w:pPr>
        <w:pStyle w:val="12"/>
        <w:ind w:firstLine="520"/>
        <w:rPr>
          <w:rFonts w:hint="eastAsia"/>
        </w:rPr>
      </w:pPr>
      <w:r>
        <w:rPr>
          <w:rFonts w:hint="eastAsia"/>
        </w:rPr>
        <w:t>在项目建设中严格按照国家消防规范《建筑内部装修设计防火规范》（</w:t>
      </w:r>
      <w:r>
        <w:t>GB50222</w:t>
      </w:r>
      <w:r>
        <w:rPr>
          <w:rFonts w:hint="eastAsia"/>
        </w:rPr>
        <w:t>）、《中华人民共和国消防法》等国家法律和规定。在各个区域内都装自动喷淋系统和报警装置，配置七氟丙烷灭火器，以及适量手提式二氧化碳气体灭火器。</w:t>
      </w:r>
    </w:p>
    <w:p w14:paraId="64BC0906">
      <w:pPr>
        <w:pStyle w:val="4"/>
        <w:rPr>
          <w:rFonts w:hint="eastAsia"/>
        </w:rPr>
      </w:pPr>
      <w:bookmarkStart w:id="23" w:name="_Toc176101076"/>
      <w:r>
        <w:rPr>
          <w:rFonts w:hint="eastAsia"/>
        </w:rPr>
        <w:t>职业安全和卫生措施</w:t>
      </w:r>
      <w:bookmarkEnd w:id="23"/>
    </w:p>
    <w:p w14:paraId="5427B547">
      <w:pPr>
        <w:pStyle w:val="12"/>
        <w:ind w:firstLine="520"/>
        <w:rPr>
          <w:rFonts w:hint="eastAsia"/>
        </w:rPr>
      </w:pPr>
      <w:r>
        <w:rPr>
          <w:rFonts w:hint="eastAsia"/>
        </w:rPr>
        <w:t>项目建设根据有关国家和部门标准规范，采取的主要安全卫生措施有：</w:t>
      </w:r>
    </w:p>
    <w:p w14:paraId="16AB40C1">
      <w:pPr>
        <w:pStyle w:val="12"/>
        <w:ind w:firstLine="520"/>
        <w:rPr>
          <w:rFonts w:hint="eastAsia"/>
        </w:rPr>
      </w:pPr>
      <w:r>
        <w:t>1</w:t>
      </w:r>
      <w:r>
        <w:rPr>
          <w:rFonts w:hint="eastAsia"/>
        </w:rPr>
        <w:t>）所有用电设备的金属外壳、金属底座、电缆金属铠装层、电缆保护管以及所有金属支架均与接地装置连接，设有安全接地，配电系统设有短路保护、过电流保护装置，以保证操作人员的安全和设备安全；</w:t>
      </w:r>
    </w:p>
    <w:p w14:paraId="59B4D0C0">
      <w:pPr>
        <w:pStyle w:val="12"/>
        <w:ind w:firstLine="520"/>
        <w:rPr>
          <w:rFonts w:hint="eastAsia"/>
        </w:rPr>
      </w:pPr>
      <w:r>
        <w:t>2</w:t>
      </w:r>
      <w:r>
        <w:rPr>
          <w:rFonts w:hint="eastAsia"/>
        </w:rPr>
        <w:t>）建筑内设计足够的人行通道和运输通道，设置疏散标志，以保证通行安全。在主要通道和出入口均设置应急照明；</w:t>
      </w:r>
    </w:p>
    <w:p w14:paraId="26F1D957">
      <w:pPr>
        <w:pStyle w:val="12"/>
        <w:ind w:firstLine="520"/>
        <w:rPr>
          <w:rFonts w:hint="eastAsia"/>
        </w:rPr>
      </w:pPr>
      <w:r>
        <w:t>3</w:t>
      </w:r>
      <w:r>
        <w:rPr>
          <w:rFonts w:hint="eastAsia"/>
        </w:rPr>
        <w:t>）办公环境配有空调、空气净化等装置，为工作人员提供舒适的工作环境；</w:t>
      </w:r>
    </w:p>
    <w:p w14:paraId="3B4B4447">
      <w:pPr>
        <w:pStyle w:val="12"/>
        <w:ind w:firstLine="520"/>
        <w:rPr>
          <w:rFonts w:hint="eastAsia"/>
        </w:rPr>
      </w:pPr>
      <w:r>
        <w:t>4</w:t>
      </w:r>
      <w:r>
        <w:rPr>
          <w:rFonts w:hint="eastAsia"/>
        </w:rPr>
        <w:t>）对消防、电磁干扰满足工作人员的卫生环境要求；</w:t>
      </w:r>
    </w:p>
    <w:p w14:paraId="119F3E85">
      <w:pPr>
        <w:rPr>
          <w:rFonts w:hint="eastAsia"/>
        </w:rPr>
      </w:pPr>
      <w:r>
        <w:t>5</w:t>
      </w:r>
      <w:r>
        <w:rPr>
          <w:rFonts w:hint="eastAsia"/>
        </w:rPr>
        <w:t>）场地设有值班室、货物间、男女洗手间等辅助用房。</w:t>
      </w:r>
    </w:p>
    <w:p w14:paraId="30DACCB0">
      <w:pPr>
        <w:pStyle w:val="4"/>
        <w:rPr>
          <w:rFonts w:hint="eastAsia"/>
        </w:rPr>
      </w:pPr>
      <w:bookmarkStart w:id="24" w:name="_Toc176101077"/>
      <w:r>
        <w:rPr>
          <w:rFonts w:hint="eastAsia"/>
        </w:rPr>
        <w:t>节能目标及措施</w:t>
      </w:r>
      <w:bookmarkEnd w:id="24"/>
    </w:p>
    <w:p w14:paraId="29108E10">
      <w:pPr>
        <w:rPr>
          <w:rFonts w:hint="eastAsia"/>
          <w:szCs w:val="24"/>
        </w:rPr>
      </w:pPr>
      <w:r>
        <w:rPr>
          <w:rFonts w:hint="eastAsia"/>
          <w:szCs w:val="24"/>
        </w:rPr>
        <w:t>项目建场地建设遵循《公共建筑节能设计标准》、《建筑节能工程施工质量验收规范》等国家规定，场地建设后，系统运行过程中主要是使用计算机设备、网络设备和检测设备，运行能耗较小。在项目实施中，仍将严格遵守国家有关规定，控制能耗。根据有关国家和部门标准规范，采取的主要节能措施有：</w:t>
      </w:r>
    </w:p>
    <w:p w14:paraId="453A493F">
      <w:pPr>
        <w:rPr>
          <w:rFonts w:hint="eastAsia"/>
          <w:szCs w:val="24"/>
        </w:rPr>
      </w:pPr>
      <w:r>
        <w:rPr>
          <w:szCs w:val="24"/>
        </w:rPr>
        <w:t>1</w:t>
      </w:r>
      <w:r>
        <w:rPr>
          <w:rFonts w:hint="eastAsia"/>
          <w:szCs w:val="24"/>
        </w:rPr>
        <w:t>）引进国内先进的关键计算机设备、网络设备和检测设备，要求能耗低、可靠性高；</w:t>
      </w:r>
    </w:p>
    <w:p w14:paraId="76586A31">
      <w:pPr>
        <w:rPr>
          <w:rFonts w:hint="eastAsia"/>
          <w:szCs w:val="24"/>
        </w:rPr>
      </w:pPr>
      <w:r>
        <w:rPr>
          <w:szCs w:val="24"/>
        </w:rPr>
        <w:t>2</w:t>
      </w:r>
      <w:r>
        <w:rPr>
          <w:rFonts w:hint="eastAsia"/>
          <w:szCs w:val="24"/>
        </w:rPr>
        <w:t>）国内生产与办公设备选用优质节能产品；</w:t>
      </w:r>
    </w:p>
    <w:p w14:paraId="6C0B80A8">
      <w:pPr>
        <w:rPr>
          <w:rFonts w:hint="eastAsia"/>
          <w:szCs w:val="24"/>
        </w:rPr>
      </w:pPr>
      <w:r>
        <w:rPr>
          <w:szCs w:val="24"/>
        </w:rPr>
        <w:t>3</w:t>
      </w:r>
      <w:r>
        <w:rPr>
          <w:rFonts w:hint="eastAsia"/>
          <w:szCs w:val="24"/>
        </w:rPr>
        <w:t>）设计中选用的各类配套设备，均选用优质节能系列产品；</w:t>
      </w:r>
    </w:p>
    <w:p w14:paraId="103C56CB">
      <w:pPr>
        <w:rPr>
          <w:rFonts w:hint="eastAsia"/>
          <w:szCs w:val="24"/>
        </w:rPr>
      </w:pPr>
      <w:r>
        <w:rPr>
          <w:szCs w:val="24"/>
        </w:rPr>
        <w:t>4</w:t>
      </w:r>
      <w:r>
        <w:rPr>
          <w:rFonts w:hint="eastAsia"/>
          <w:szCs w:val="24"/>
        </w:rPr>
        <w:t>）各种管道应采取保温、隔热等措施；</w:t>
      </w:r>
    </w:p>
    <w:p w14:paraId="0E0076AE">
      <w:pPr>
        <w:rPr>
          <w:rFonts w:hint="eastAsia"/>
        </w:rPr>
      </w:pPr>
      <w:r>
        <w:rPr>
          <w:szCs w:val="24"/>
        </w:rPr>
        <w:t>5</w:t>
      </w:r>
      <w:r>
        <w:rPr>
          <w:rFonts w:hint="eastAsia"/>
          <w:szCs w:val="24"/>
        </w:rPr>
        <w:t>）建筑墙面、吊顶作保温层或双层隔离，减少能量损耗。</w:t>
      </w:r>
    </w:p>
    <w:p w14:paraId="32B7283C">
      <w:pPr>
        <w:pStyle w:val="3"/>
        <w:rPr>
          <w:rFonts w:hint="eastAsia"/>
        </w:rPr>
      </w:pPr>
      <w:bookmarkStart w:id="25" w:name="_Toc176101078"/>
      <w:r>
        <w:rPr>
          <w:rFonts w:hint="eastAsia"/>
        </w:rPr>
        <w:t>项目组织机构和人员</w:t>
      </w:r>
      <w:bookmarkEnd w:id="25"/>
    </w:p>
    <w:p w14:paraId="5EE0DBEF">
      <w:pPr>
        <w:pStyle w:val="4"/>
        <w:tabs>
          <w:tab w:val="left" w:pos="0"/>
          <w:tab w:val="left" w:pos="718"/>
          <w:tab w:val="clear" w:pos="420"/>
        </w:tabs>
        <w:rPr>
          <w:rFonts w:hint="eastAsia"/>
        </w:rPr>
      </w:pPr>
      <w:bookmarkStart w:id="26" w:name="_Toc258508806"/>
      <w:bookmarkStart w:id="27" w:name="_Toc151021729"/>
      <w:bookmarkStart w:id="28" w:name="_Toc43716419"/>
      <w:bookmarkStart w:id="29" w:name="_Toc43046872"/>
      <w:bookmarkStart w:id="30" w:name="_Toc28843"/>
      <w:bookmarkStart w:id="31" w:name="_Toc43046311"/>
      <w:bookmarkStart w:id="32" w:name="_Toc30162279"/>
      <w:bookmarkStart w:id="33" w:name="_Toc20427404"/>
      <w:bookmarkStart w:id="34" w:name="_Toc176101079"/>
      <w:bookmarkStart w:id="35" w:name="_Toc89856637"/>
      <w:bookmarkStart w:id="36" w:name="_Toc151111743"/>
      <w:bookmarkStart w:id="37" w:name="_Toc91606837"/>
      <w:bookmarkStart w:id="38" w:name="_Toc85530548"/>
      <w:bookmarkStart w:id="39" w:name="_Toc345419335"/>
      <w:bookmarkStart w:id="40" w:name="_Toc43716537"/>
      <w:bookmarkStart w:id="41" w:name="_Toc313736562"/>
      <w:r>
        <w:rPr>
          <w:rFonts w:hint="eastAsia"/>
        </w:rPr>
        <w:t>领导和管理机构</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BB1B93B">
      <w:pPr>
        <w:rPr>
          <w:rFonts w:hint="eastAsia"/>
        </w:rPr>
      </w:pPr>
      <w:r>
        <w:rPr>
          <w:rFonts w:hint="eastAsia"/>
        </w:rPr>
        <w:t>为了保证项目顺利实施和正常运行，确保工程质量并达到预期目标，工程建设成立本项目建设领导小组，统一组织、协调本项目的建设工作。在领导小组的领导下，成立项目建设管理办公室（简称办公室）作为项目建设的执行机构。</w:t>
      </w:r>
    </w:p>
    <w:p w14:paraId="05DF277E">
      <w:pPr>
        <w:rPr>
          <w:rFonts w:hint="eastAsia"/>
        </w:rPr>
      </w:pPr>
      <w:r>
        <w:rPr>
          <w:rFonts w:hint="eastAsia"/>
        </w:rPr>
        <w:t>项目建设组织机构的设立应本着“统一领导、分工明确、职责清晰、协调配合”的原则。</w:t>
      </w:r>
    </w:p>
    <w:p w14:paraId="1CD54148">
      <w:pPr>
        <w:rPr>
          <w:rFonts w:hint="eastAsia"/>
        </w:rPr>
      </w:pPr>
      <w:r>
        <w:rPr>
          <w:rFonts w:hint="eastAsia"/>
        </w:rPr>
        <w:t>项目的组织管理与职责分工如下：</w:t>
      </w:r>
    </w:p>
    <w:p w14:paraId="3C194149">
      <w:pPr>
        <w:rPr>
          <w:rFonts w:hint="eastAsia"/>
        </w:rPr>
      </w:pPr>
      <w:r>
        <w:rPr>
          <w:rFonts w:hint="eastAsia"/>
        </w:rPr>
        <w:t>1、项目领导小组：是项目建设的决策和协调机构，明确建设目标、建设内容及项目建设的组织方式，同时还负责跨部门跨地区重大问题的协调。</w:t>
      </w:r>
    </w:p>
    <w:p w14:paraId="3E7E6C86">
      <w:pPr>
        <w:rPr>
          <w:rFonts w:hint="eastAsia"/>
        </w:rPr>
      </w:pPr>
      <w:r>
        <w:rPr>
          <w:rFonts w:hint="eastAsia"/>
        </w:rPr>
        <w:t>2、项目建设专家委员会：在重庆市专家库抽取专家，负责为本项目的设计与实施提供咨询和建议，协助审核各阶段的计划、实施方案。</w:t>
      </w:r>
    </w:p>
    <w:p w14:paraId="2EB6DC5C">
      <w:pPr>
        <w:pStyle w:val="4"/>
        <w:tabs>
          <w:tab w:val="left" w:pos="0"/>
          <w:tab w:val="left" w:pos="718"/>
          <w:tab w:val="clear" w:pos="420"/>
        </w:tabs>
        <w:rPr>
          <w:rFonts w:hint="eastAsia"/>
        </w:rPr>
      </w:pPr>
      <w:bookmarkStart w:id="42" w:name="_Toc85530549"/>
      <w:bookmarkStart w:id="43" w:name="_Toc4376"/>
      <w:bookmarkStart w:id="44" w:name="_Toc20427405"/>
      <w:bookmarkStart w:id="45" w:name="_Toc43716538"/>
      <w:bookmarkStart w:id="46" w:name="_Toc43046312"/>
      <w:bookmarkStart w:id="47" w:name="_Toc151111744"/>
      <w:bookmarkStart w:id="48" w:name="_Toc89856638"/>
      <w:bookmarkStart w:id="49" w:name="_Toc313736563"/>
      <w:bookmarkStart w:id="50" w:name="_Toc151021730"/>
      <w:bookmarkStart w:id="51" w:name="_Toc345419336"/>
      <w:bookmarkStart w:id="52" w:name="_Toc91606838"/>
      <w:bookmarkStart w:id="53" w:name="_Toc176101080"/>
      <w:bookmarkStart w:id="54" w:name="_Toc43046873"/>
      <w:bookmarkStart w:id="55" w:name="_Toc43716420"/>
      <w:bookmarkStart w:id="56" w:name="_Toc30162280"/>
      <w:r>
        <w:rPr>
          <w:rFonts w:hint="eastAsia"/>
        </w:rPr>
        <w:t>项目实施及运行维护机构</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9D79C13">
      <w:pPr>
        <w:rPr>
          <w:rFonts w:hint="eastAsia"/>
        </w:rPr>
      </w:pPr>
      <w:r>
        <w:rPr>
          <w:rFonts w:hint="eastAsia"/>
        </w:rPr>
        <w:t>综合组：负责组织编写项目建设方案，组织项目方案论证会。</w:t>
      </w:r>
    </w:p>
    <w:p w14:paraId="2B509373">
      <w:pPr>
        <w:rPr>
          <w:rFonts w:hint="eastAsia"/>
        </w:rPr>
      </w:pPr>
      <w:r>
        <w:rPr>
          <w:rFonts w:hint="eastAsia"/>
        </w:rPr>
        <w:t>工程组：制订工程实施方案和进度计划，组织工程实施和质量管理，负责项目协调和工程验收移交。</w:t>
      </w:r>
    </w:p>
    <w:p w14:paraId="65B9FA3F">
      <w:pPr>
        <w:rPr>
          <w:rFonts w:hint="eastAsia"/>
        </w:rPr>
      </w:pPr>
      <w:r>
        <w:rPr>
          <w:rFonts w:hint="eastAsia"/>
        </w:rPr>
        <w:t>技术组：负责工程技术方案、工程设计书、工程建设计划、设备采购标书等工程技术文件的编写、审核，配合工程组做好技术把关和测试验收工作。</w:t>
      </w:r>
    </w:p>
    <w:p w14:paraId="1DC2D99A">
      <w:pPr>
        <w:rPr>
          <w:rFonts w:hint="eastAsia"/>
        </w:rPr>
      </w:pPr>
      <w:r>
        <w:rPr>
          <w:rFonts w:hint="eastAsia"/>
        </w:rPr>
        <w:t>安全组：负责项目信息安全目标的实现，协助工程组管理项目安全子系统的建设，完成安全系统测试、验收工作。提出各单位建立网络与信息安全应急处理机制意见，制定应急预案和备份方案，处理网络与信息安全事件，并根据安全事件的性质及时向安全部门报告。</w:t>
      </w:r>
    </w:p>
    <w:p w14:paraId="4CE6C69D">
      <w:pPr>
        <w:rPr>
          <w:rFonts w:hint="eastAsia"/>
        </w:rPr>
      </w:pPr>
      <w:r>
        <w:rPr>
          <w:rFonts w:hint="eastAsia"/>
        </w:rPr>
        <w:t>财务组：负责项目资金管理。</w:t>
      </w:r>
    </w:p>
    <w:p w14:paraId="7079C333">
      <w:pPr>
        <w:rPr>
          <w:rFonts w:hint="eastAsia"/>
        </w:rPr>
      </w:pPr>
      <w:r>
        <w:rPr>
          <w:rFonts w:hint="eastAsia"/>
        </w:rPr>
        <w:t>标准组：负责组织研究、制定本项目的标准规范体系并监督执行。</w:t>
      </w:r>
    </w:p>
    <w:p w14:paraId="4D9908FC">
      <w:pPr>
        <w:pStyle w:val="4"/>
        <w:tabs>
          <w:tab w:val="left" w:pos="0"/>
          <w:tab w:val="left" w:pos="718"/>
          <w:tab w:val="clear" w:pos="420"/>
        </w:tabs>
        <w:rPr>
          <w:rFonts w:hint="eastAsia"/>
        </w:rPr>
      </w:pPr>
      <w:bookmarkStart w:id="57" w:name="_Toc151021731"/>
      <w:bookmarkStart w:id="58" w:name="_Toc176101081"/>
      <w:bookmarkStart w:id="59" w:name="_Toc89856639"/>
      <w:bookmarkStart w:id="60" w:name="_Toc43716421"/>
      <w:bookmarkStart w:id="61" w:name="_Toc43046313"/>
      <w:bookmarkStart w:id="62" w:name="_Toc20427406"/>
      <w:bookmarkStart w:id="63" w:name="_Toc43716539"/>
      <w:bookmarkStart w:id="64" w:name="_Toc43046874"/>
      <w:bookmarkStart w:id="65" w:name="_Toc313736564"/>
      <w:bookmarkStart w:id="66" w:name="_Toc91606839"/>
      <w:bookmarkStart w:id="67" w:name="_Toc30162281"/>
      <w:bookmarkStart w:id="68" w:name="_Toc345419337"/>
      <w:bookmarkStart w:id="69" w:name="_Toc151111745"/>
      <w:bookmarkStart w:id="70" w:name="_Toc2737"/>
      <w:bookmarkStart w:id="71" w:name="_Toc85530550"/>
      <w:r>
        <w:rPr>
          <w:rFonts w:hint="eastAsia"/>
        </w:rPr>
        <w:t>技术力量和人员配置</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D89C367">
      <w:pPr>
        <w:rPr>
          <w:rFonts w:hint="eastAsia"/>
        </w:rPr>
      </w:pPr>
      <w:r>
        <w:rPr>
          <w:rFonts w:hint="eastAsia"/>
        </w:rPr>
        <w:t>技术力量和人员配置，应该在保证工程建设质量和进度、保障外网的安全与正常运维的要求下进行设置。随着业务的不断发展，根据需要动态调整人员的配置。</w:t>
      </w:r>
    </w:p>
    <w:p w14:paraId="193E66A3">
      <w:pPr>
        <w:rPr>
          <w:rFonts w:hint="eastAsia"/>
        </w:rPr>
      </w:pPr>
      <w:r>
        <w:rPr>
          <w:rFonts w:hint="eastAsia"/>
        </w:rPr>
        <w:t>项目建设专家委员会，应该由不少于3人构成，成员的组成应该充分体现广泛的代表性。人员的遴选由项目领导小组讨论决定。</w:t>
      </w:r>
    </w:p>
    <w:p w14:paraId="3D39FEB0">
      <w:pPr>
        <w:rPr>
          <w:rFonts w:hint="eastAsia"/>
        </w:rPr>
      </w:pPr>
      <w:r>
        <w:rPr>
          <w:rFonts w:hint="eastAsia"/>
        </w:rPr>
        <w:t>在建设阶段，可以临时设立综合组、工程组、技术组、安全组、财务组和标准组。初期，技术力量的配置，本着“干练、精简、高效”的原则。</w:t>
      </w:r>
      <w:bookmarkStart w:id="72" w:name="_Toc89856640"/>
      <w:bookmarkStart w:id="73" w:name="_Toc91606840"/>
      <w:r>
        <w:rPr>
          <w:rFonts w:hint="eastAsia"/>
        </w:rPr>
        <w:t>人员培训方案</w:t>
      </w:r>
      <w:bookmarkEnd w:id="72"/>
      <w:bookmarkEnd w:id="73"/>
    </w:p>
    <w:p w14:paraId="685008C3">
      <w:pPr>
        <w:pStyle w:val="4"/>
        <w:tabs>
          <w:tab w:val="left" w:pos="0"/>
          <w:tab w:val="left" w:pos="718"/>
          <w:tab w:val="clear" w:pos="420"/>
        </w:tabs>
        <w:rPr>
          <w:rFonts w:hint="eastAsia"/>
        </w:rPr>
      </w:pPr>
      <w:bookmarkStart w:id="74" w:name="_Toc91606841"/>
      <w:bookmarkStart w:id="75" w:name="_Toc276385368"/>
      <w:bookmarkStart w:id="76" w:name="_Toc271011260"/>
      <w:bookmarkStart w:id="77" w:name="_Toc297822803"/>
      <w:bookmarkStart w:id="78" w:name="_Toc176101082"/>
      <w:bookmarkStart w:id="79" w:name="_Toc400739471"/>
      <w:bookmarkStart w:id="80" w:name="_Toc521480593"/>
      <w:bookmarkStart w:id="81" w:name="_Toc228651154"/>
      <w:bookmarkStart w:id="82" w:name="_Toc89856641"/>
      <w:bookmarkStart w:id="83" w:name="_Toc22133"/>
      <w:bookmarkStart w:id="84" w:name="_Toc235417856"/>
      <w:bookmarkStart w:id="85" w:name="_Toc151021732"/>
      <w:bookmarkStart w:id="86" w:name="_Toc85530552"/>
      <w:bookmarkStart w:id="87" w:name="_Toc151111746"/>
      <w:bookmarkStart w:id="88" w:name="_Toc226951306"/>
      <w:r>
        <w:rPr>
          <w:rFonts w:hint="eastAsia"/>
        </w:rPr>
        <w:t>培训目的</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A497D95">
      <w:pPr>
        <w:rPr>
          <w:rFonts w:hint="eastAsia"/>
        </w:rPr>
      </w:pPr>
      <w:r>
        <w:rPr>
          <w:rFonts w:hint="eastAsia"/>
        </w:rPr>
        <w:t>培训的目的是使用户熟悉并掌握种业务系统的使用。</w:t>
      </w:r>
    </w:p>
    <w:p w14:paraId="170F29AB">
      <w:pPr>
        <w:pStyle w:val="4"/>
        <w:tabs>
          <w:tab w:val="left" w:pos="0"/>
          <w:tab w:val="left" w:pos="718"/>
          <w:tab w:val="clear" w:pos="420"/>
        </w:tabs>
        <w:rPr>
          <w:rFonts w:hint="eastAsia"/>
        </w:rPr>
      </w:pPr>
      <w:bookmarkStart w:id="89" w:name="_Toc85530553"/>
      <w:bookmarkStart w:id="90" w:name="_Toc176101083"/>
      <w:bookmarkStart w:id="91" w:name="_Toc521480594"/>
      <w:bookmarkStart w:id="92" w:name="_Toc11758"/>
      <w:bookmarkStart w:id="93" w:name="_Toc91606842"/>
      <w:bookmarkStart w:id="94" w:name="_Toc151021733"/>
      <w:bookmarkStart w:id="95" w:name="_Toc271011261"/>
      <w:bookmarkStart w:id="96" w:name="_Toc400739472"/>
      <w:bookmarkStart w:id="97" w:name="_Toc89856642"/>
      <w:bookmarkStart w:id="98" w:name="_Toc297822804"/>
      <w:bookmarkStart w:id="99" w:name="_Toc235417857"/>
      <w:bookmarkStart w:id="100" w:name="_Toc276385369"/>
      <w:bookmarkStart w:id="101" w:name="_Toc151111747"/>
      <w:bookmarkStart w:id="102" w:name="_Toc228651155"/>
      <w:r>
        <w:rPr>
          <w:rFonts w:hint="eastAsia"/>
        </w:rPr>
        <w:t>培训目标及对象</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8626CD2">
      <w:pPr>
        <w:rPr>
          <w:rFonts w:hint="eastAsia"/>
        </w:rPr>
      </w:pPr>
      <w:r>
        <w:rPr>
          <w:rFonts w:hint="eastAsia"/>
        </w:rPr>
        <w:t>为了确保各系统建设的顺利运行和系统投入使用后的稳定，通过对用户方工作人员进行相应的专业技术和应用技术培训，达到提高工作效率、发挥各系统应用效率的预期目标。</w:t>
      </w:r>
    </w:p>
    <w:p w14:paraId="44089CC8">
      <w:pPr>
        <w:rPr>
          <w:rFonts w:hint="eastAsia"/>
        </w:rPr>
      </w:pPr>
      <w:r>
        <w:rPr>
          <w:rFonts w:hint="eastAsia"/>
        </w:rPr>
        <w:t>通过培训工作的开展，要达到如下目标：</w:t>
      </w:r>
    </w:p>
    <w:p w14:paraId="02E6E53F">
      <w:pPr>
        <w:numPr>
          <w:ilvl w:val="0"/>
          <w:numId w:val="2"/>
        </w:numPr>
        <w:ind w:left="0" w:firstLine="520"/>
        <w:rPr>
          <w:rFonts w:hint="eastAsia"/>
        </w:rPr>
      </w:pPr>
      <w:r>
        <w:rPr>
          <w:rFonts w:hint="eastAsia"/>
        </w:rPr>
        <w:t>用户方了解各系统建设背景、基本理论和方法；</w:t>
      </w:r>
    </w:p>
    <w:p w14:paraId="18A770A2">
      <w:pPr>
        <w:numPr>
          <w:ilvl w:val="0"/>
          <w:numId w:val="2"/>
        </w:numPr>
        <w:ind w:left="0" w:firstLine="520"/>
        <w:rPr>
          <w:rFonts w:hint="eastAsia"/>
        </w:rPr>
      </w:pPr>
      <w:r>
        <w:rPr>
          <w:rFonts w:hint="eastAsia"/>
        </w:rPr>
        <w:t>用户方掌握各系统的使用方法；</w:t>
      </w:r>
    </w:p>
    <w:p w14:paraId="4C69BF59">
      <w:pPr>
        <w:numPr>
          <w:ilvl w:val="0"/>
          <w:numId w:val="2"/>
        </w:numPr>
        <w:ind w:left="0" w:firstLine="520"/>
        <w:rPr>
          <w:rFonts w:hint="eastAsia"/>
        </w:rPr>
      </w:pPr>
      <w:r>
        <w:rPr>
          <w:rFonts w:hint="eastAsia"/>
        </w:rPr>
        <w:t>用户方熟悉各类硬件、软件系统的使用操作；</w:t>
      </w:r>
    </w:p>
    <w:p w14:paraId="3F794A4C">
      <w:pPr>
        <w:numPr>
          <w:ilvl w:val="0"/>
          <w:numId w:val="2"/>
        </w:numPr>
        <w:ind w:left="0" w:firstLine="520"/>
        <w:rPr>
          <w:rFonts w:hint="eastAsia"/>
        </w:rPr>
      </w:pPr>
      <w:r>
        <w:rPr>
          <w:rFonts w:hint="eastAsia"/>
        </w:rPr>
        <w:t>用户方掌握网络系统的安装、调试和日常维护等操作；</w:t>
      </w:r>
    </w:p>
    <w:p w14:paraId="34B975E7">
      <w:pPr>
        <w:numPr>
          <w:ilvl w:val="0"/>
          <w:numId w:val="2"/>
        </w:numPr>
        <w:ind w:left="0" w:firstLine="520"/>
        <w:rPr>
          <w:rFonts w:hint="eastAsia"/>
        </w:rPr>
      </w:pPr>
      <w:r>
        <w:rPr>
          <w:rFonts w:hint="eastAsia"/>
        </w:rPr>
        <w:t>用户方掌握网络安全基本知识，建立网络安全意识；</w:t>
      </w:r>
    </w:p>
    <w:p w14:paraId="04C4B7C1">
      <w:pPr>
        <w:numPr>
          <w:ilvl w:val="0"/>
          <w:numId w:val="2"/>
        </w:numPr>
        <w:ind w:left="0" w:firstLine="520"/>
        <w:rPr>
          <w:rFonts w:hint="eastAsia"/>
        </w:rPr>
      </w:pPr>
      <w:r>
        <w:rPr>
          <w:rFonts w:hint="eastAsia"/>
        </w:rPr>
        <w:t>用户方掌握数据库基本知识，能够进行安装、调试和日常维护；</w:t>
      </w:r>
    </w:p>
    <w:p w14:paraId="27B447A0">
      <w:pPr>
        <w:rPr>
          <w:rFonts w:hint="eastAsia"/>
        </w:rPr>
      </w:pPr>
      <w:r>
        <w:rPr>
          <w:rFonts w:hint="eastAsia"/>
        </w:rPr>
        <w:t>培训对象包括：各专业单位人员、各科室使用人员、系统维护人员、相关领导等。</w:t>
      </w:r>
    </w:p>
    <w:p w14:paraId="78C7455D">
      <w:pPr>
        <w:pStyle w:val="4"/>
        <w:tabs>
          <w:tab w:val="left" w:pos="0"/>
          <w:tab w:val="left" w:pos="718"/>
          <w:tab w:val="clear" w:pos="420"/>
        </w:tabs>
        <w:rPr>
          <w:rFonts w:hint="eastAsia"/>
        </w:rPr>
      </w:pPr>
      <w:bookmarkStart w:id="103" w:name="_Toc228651156"/>
      <w:bookmarkStart w:id="104" w:name="_Toc400739473"/>
      <w:bookmarkStart w:id="105" w:name="_Toc176101084"/>
      <w:bookmarkStart w:id="106" w:name="_Toc89856643"/>
      <w:bookmarkStart w:id="107" w:name="_Toc297822805"/>
      <w:bookmarkStart w:id="108" w:name="_Toc276385370"/>
      <w:bookmarkStart w:id="109" w:name="_Toc521480595"/>
      <w:bookmarkStart w:id="110" w:name="_Toc151111748"/>
      <w:bookmarkStart w:id="111" w:name="_Toc2534"/>
      <w:bookmarkStart w:id="112" w:name="_Toc85530554"/>
      <w:bookmarkStart w:id="113" w:name="_Toc271011262"/>
      <w:bookmarkStart w:id="114" w:name="_Toc235417858"/>
      <w:bookmarkStart w:id="115" w:name="_Toc151021734"/>
      <w:bookmarkStart w:id="116" w:name="_Toc226951307"/>
      <w:bookmarkStart w:id="117" w:name="_Toc91606843"/>
      <w:r>
        <w:rPr>
          <w:rFonts w:hint="eastAsia"/>
        </w:rPr>
        <w:t>培训方式</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B74763C">
      <w:pPr>
        <w:pStyle w:val="5"/>
        <w:tabs>
          <w:tab w:val="left" w:pos="0"/>
          <w:tab w:val="left" w:pos="720"/>
        </w:tabs>
        <w:rPr>
          <w:rFonts w:hint="eastAsia"/>
        </w:rPr>
      </w:pPr>
      <w:bookmarkStart w:id="118" w:name="_Toc169190558"/>
      <w:bookmarkStart w:id="119" w:name="_Toc151021735"/>
      <w:bookmarkStart w:id="120" w:name="_Toc168977026"/>
      <w:bookmarkStart w:id="121" w:name="_Toc298742635"/>
      <w:bookmarkStart w:id="122" w:name="_Toc215915861"/>
      <w:bookmarkStart w:id="123" w:name="_Toc271011263"/>
      <w:bookmarkStart w:id="124" w:name="_Toc169189849"/>
      <w:bookmarkStart w:id="125" w:name="_Toc151111749"/>
      <w:bookmarkStart w:id="126" w:name="_Toc85530555"/>
      <w:bookmarkStart w:id="127" w:name="_Toc22217"/>
      <w:bookmarkStart w:id="128" w:name="_Toc298761608"/>
      <w:bookmarkStart w:id="129" w:name="_Toc235417859"/>
      <w:bookmarkStart w:id="130" w:name="_Toc89856644"/>
      <w:bookmarkStart w:id="131" w:name="_Toc169193446"/>
      <w:bookmarkStart w:id="132" w:name="_Toc91606844"/>
      <w:bookmarkStart w:id="133" w:name="_Toc228651157"/>
      <w:bookmarkStart w:id="134" w:name="_Toc158029184"/>
      <w:r>
        <w:rPr>
          <w:rFonts w:hint="eastAsia"/>
        </w:rPr>
        <w:t>统一培训</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D0DD4FC">
      <w:pPr>
        <w:rPr>
          <w:rFonts w:hint="eastAsia"/>
        </w:rPr>
      </w:pPr>
      <w:r>
        <w:rPr>
          <w:rFonts w:hint="eastAsia"/>
        </w:rPr>
        <w:t>为保证工程实施的顺利进行，便于项目实施过程中甲乙双方的沟通和配合，在系统建设实施以前，用户方技术人员以及客户代表必须具备一定的技术水平和项目管理知识。</w:t>
      </w:r>
    </w:p>
    <w:p w14:paraId="5A8A5EBE">
      <w:pPr>
        <w:rPr>
          <w:rFonts w:hint="eastAsia"/>
        </w:rPr>
      </w:pPr>
      <w:r>
        <w:rPr>
          <w:rFonts w:hint="eastAsia"/>
        </w:rPr>
        <w:t>在实施系统服务过程结束时，为使客户能顺利接手该系统，用户方技术人员必须掌握所安装的各种产品、系统的有关安装、设置、管理、使用和客户化等方面的技术。</w:t>
      </w:r>
    </w:p>
    <w:p w14:paraId="4E13048B">
      <w:pPr>
        <w:rPr>
          <w:rFonts w:hint="eastAsia"/>
        </w:rPr>
      </w:pPr>
      <w:r>
        <w:rPr>
          <w:rFonts w:hint="eastAsia"/>
        </w:rPr>
        <w:t>因此，在项目实施之前以及在项目实施完毕后各进行一次集中培训，分别称之为基础培训和移交培训。</w:t>
      </w:r>
    </w:p>
    <w:p w14:paraId="2BD5C546">
      <w:pPr>
        <w:rPr>
          <w:rFonts w:hint="eastAsia"/>
        </w:rPr>
      </w:pPr>
      <w:r>
        <w:rPr>
          <w:rFonts w:hint="eastAsia"/>
        </w:rPr>
        <w:t>基础培训：在系统实施服务开始前，承建单位将为客户提供有关系统体系结构、产品类别和选择、产品体系结构、产品功能以及项目管理等方面的培训。</w:t>
      </w:r>
    </w:p>
    <w:p w14:paraId="1C9C7D9D">
      <w:pPr>
        <w:rPr>
          <w:rFonts w:hint="eastAsia"/>
        </w:rPr>
      </w:pPr>
      <w:r>
        <w:rPr>
          <w:rFonts w:hint="eastAsia"/>
        </w:rPr>
        <w:t>移交培训：在系统实施服务过程结束时，承建单位将为客户提供针对所安装的各种产品、系统的有关安装、设置、管理、使用和客户化等方面的现场培训，目的是使客户能顺利接手该系统。</w:t>
      </w:r>
    </w:p>
    <w:p w14:paraId="631B49C5">
      <w:pPr>
        <w:pStyle w:val="5"/>
        <w:tabs>
          <w:tab w:val="left" w:pos="0"/>
          <w:tab w:val="left" w:pos="720"/>
        </w:tabs>
        <w:rPr>
          <w:rFonts w:hint="eastAsia"/>
        </w:rPr>
      </w:pPr>
      <w:bookmarkStart w:id="135" w:name="_Toc158029185"/>
      <w:bookmarkStart w:id="136" w:name="_Toc298742636"/>
      <w:bookmarkStart w:id="137" w:name="_Toc168977027"/>
      <w:bookmarkStart w:id="138" w:name="_Toc298761609"/>
      <w:bookmarkStart w:id="139" w:name="_Toc271011264"/>
      <w:bookmarkStart w:id="140" w:name="_Toc85530556"/>
      <w:bookmarkStart w:id="141" w:name="_Toc215915862"/>
      <w:bookmarkStart w:id="142" w:name="_Toc169190559"/>
      <w:bookmarkStart w:id="143" w:name="_Toc169189850"/>
      <w:bookmarkStart w:id="144" w:name="_Toc151021736"/>
      <w:bookmarkStart w:id="145" w:name="_Toc89856645"/>
      <w:bookmarkStart w:id="146" w:name="_Toc235417860"/>
      <w:bookmarkStart w:id="147" w:name="_Toc169193447"/>
      <w:bookmarkStart w:id="148" w:name="_Toc91606845"/>
      <w:bookmarkStart w:id="149" w:name="_Toc228651158"/>
      <w:bookmarkStart w:id="150" w:name="_Toc151111750"/>
      <w:bookmarkStart w:id="151" w:name="_Toc30186"/>
      <w:r>
        <w:rPr>
          <w:rFonts w:hint="eastAsia"/>
        </w:rPr>
        <w:t>现场培训</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276FB77">
      <w:pPr>
        <w:rPr>
          <w:rFonts w:hint="eastAsia"/>
        </w:rPr>
      </w:pPr>
      <w:r>
        <w:rPr>
          <w:rFonts w:hint="eastAsia"/>
        </w:rPr>
        <w:t>现场培训是项目实施过程中重要组成部分。现场培训将在用户指定设备安装地点进行，具体内容包括：</w:t>
      </w:r>
    </w:p>
    <w:p w14:paraId="164CF5C9">
      <w:pPr>
        <w:rPr>
          <w:rFonts w:hint="eastAsia"/>
        </w:rPr>
      </w:pPr>
      <w:r>
        <w:rPr>
          <w:rFonts w:hint="eastAsia"/>
        </w:rPr>
        <w:t>结合系统实施现场的实际情况，介绍设备安装、调试的方法；</w:t>
      </w:r>
    </w:p>
    <w:p w14:paraId="51F11F78">
      <w:pPr>
        <w:rPr>
          <w:rFonts w:hint="eastAsia"/>
        </w:rPr>
      </w:pPr>
      <w:r>
        <w:rPr>
          <w:rFonts w:hint="eastAsia"/>
        </w:rPr>
        <w:t>在承建单位专业工程人员的指导下，用户方可以直接参与设备安装和调试工作；</w:t>
      </w:r>
    </w:p>
    <w:p w14:paraId="4A904BD5">
      <w:pPr>
        <w:rPr>
          <w:rFonts w:hint="eastAsia"/>
        </w:rPr>
      </w:pPr>
      <w:r>
        <w:rPr>
          <w:rFonts w:hint="eastAsia"/>
        </w:rPr>
        <w:t>现场问题处理培训。</w:t>
      </w:r>
    </w:p>
    <w:p w14:paraId="19E36612">
      <w:pPr>
        <w:pStyle w:val="5"/>
        <w:tabs>
          <w:tab w:val="left" w:pos="0"/>
          <w:tab w:val="left" w:pos="720"/>
        </w:tabs>
        <w:rPr>
          <w:rFonts w:hint="eastAsia"/>
        </w:rPr>
      </w:pPr>
      <w:bookmarkStart w:id="152" w:name="_Toc91606846"/>
      <w:bookmarkStart w:id="153" w:name="_Toc169190560"/>
      <w:bookmarkStart w:id="154" w:name="_Toc151111751"/>
      <w:bookmarkStart w:id="155" w:name="_Toc89856646"/>
      <w:bookmarkStart w:id="156" w:name="_Toc158029186"/>
      <w:bookmarkStart w:id="157" w:name="_Toc151021737"/>
      <w:bookmarkStart w:id="158" w:name="_Toc20118"/>
      <w:bookmarkStart w:id="159" w:name="_Toc215915863"/>
      <w:bookmarkStart w:id="160" w:name="_Toc271011265"/>
      <w:bookmarkStart w:id="161" w:name="_Toc168977028"/>
      <w:bookmarkStart w:id="162" w:name="_Toc169189851"/>
      <w:bookmarkStart w:id="163" w:name="_Toc235417861"/>
      <w:bookmarkStart w:id="164" w:name="_Toc228651159"/>
      <w:bookmarkStart w:id="165" w:name="_Toc169193448"/>
      <w:bookmarkStart w:id="166" w:name="_Toc298761610"/>
      <w:bookmarkStart w:id="167" w:name="_Toc85530557"/>
      <w:bookmarkStart w:id="168" w:name="_Toc298742637"/>
      <w:r>
        <w:rPr>
          <w:rFonts w:hint="eastAsia"/>
        </w:rPr>
        <w:t>网络培训</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3AE42A6">
      <w:pPr>
        <w:rPr>
          <w:rFonts w:hint="eastAsia"/>
        </w:rPr>
      </w:pPr>
      <w:r>
        <w:rPr>
          <w:rFonts w:hint="eastAsia"/>
        </w:rPr>
        <w:t>项目实施中进行的集中和现场培训，旨在使用户迅速具备系统的操作、调试和维护的基本能力。对技术队伍的培训和技术人员之间的交流日常化、随时化，使技术人员随时保持对新技术的跟踪和认知能力，不断在培训中和交流中更新、强化和深化自身技术能力。</w:t>
      </w:r>
    </w:p>
    <w:p w14:paraId="4CF3CB6A">
      <w:pPr>
        <w:rPr>
          <w:rFonts w:hint="eastAsia"/>
        </w:rPr>
      </w:pPr>
      <w:r>
        <w:rPr>
          <w:rFonts w:hint="eastAsia"/>
        </w:rPr>
        <w:t>由于成本和时间原因，在日常工作中，采用传统的培训方式保持对技术人员日常化、随时化的培训和交流是难以实现的。为解决这一问题，建议承建单位通过网络化的培训来解决问题。将把集中培训和现场培训中的内容等制作成多媒体课件形式。用户方技术人员人可以通过网络随时、随地通过课件进行学习。</w:t>
      </w:r>
    </w:p>
    <w:p w14:paraId="0A6FB8BC">
      <w:pPr>
        <w:pStyle w:val="5"/>
        <w:tabs>
          <w:tab w:val="left" w:pos="0"/>
          <w:tab w:val="left" w:pos="720"/>
        </w:tabs>
        <w:rPr>
          <w:rFonts w:hint="eastAsia"/>
        </w:rPr>
      </w:pPr>
      <w:bookmarkStart w:id="169" w:name="_Toc151111752"/>
      <w:bookmarkStart w:id="170" w:name="_Toc89856647"/>
      <w:bookmarkStart w:id="171" w:name="_Toc3095"/>
      <w:bookmarkStart w:id="172" w:name="_Toc91606847"/>
      <w:bookmarkStart w:id="173" w:name="_Toc151021738"/>
      <w:bookmarkStart w:id="174" w:name="_Toc85530558"/>
      <w:r>
        <w:rPr>
          <w:rFonts w:hint="eastAsia"/>
        </w:rPr>
        <w:t>培训考核</w:t>
      </w:r>
      <w:bookmarkEnd w:id="169"/>
      <w:bookmarkEnd w:id="170"/>
      <w:bookmarkEnd w:id="171"/>
      <w:bookmarkEnd w:id="172"/>
      <w:bookmarkEnd w:id="173"/>
      <w:bookmarkEnd w:id="174"/>
    </w:p>
    <w:p w14:paraId="16C9EABB">
      <w:pPr>
        <w:pStyle w:val="28"/>
        <w:rPr>
          <w:rFonts w:hint="eastAsia"/>
        </w:rPr>
      </w:pPr>
      <w:r>
        <w:rPr>
          <w:rFonts w:hint="eastAsia"/>
        </w:rPr>
        <w:t>为保证最终的学习效果，建议为每一期培训班布置考试题目，以验收学员的学习成果，保证培训质量。</w:t>
      </w:r>
    </w:p>
    <w:p w14:paraId="0E6CED51">
      <w:pPr>
        <w:pStyle w:val="4"/>
        <w:tabs>
          <w:tab w:val="left" w:pos="0"/>
          <w:tab w:val="left" w:pos="718"/>
          <w:tab w:val="clear" w:pos="420"/>
        </w:tabs>
        <w:rPr>
          <w:rFonts w:hint="eastAsia"/>
        </w:rPr>
      </w:pPr>
      <w:bookmarkStart w:id="175" w:name="_Toc235417862"/>
      <w:bookmarkStart w:id="176" w:name="_Toc32760"/>
      <w:bookmarkStart w:id="177" w:name="_Toc151021739"/>
      <w:bookmarkStart w:id="178" w:name="_Toc91606848"/>
      <w:bookmarkStart w:id="179" w:name="_Toc400739474"/>
      <w:bookmarkStart w:id="180" w:name="_Toc176101085"/>
      <w:bookmarkStart w:id="181" w:name="_Toc151111753"/>
      <w:bookmarkStart w:id="182" w:name="_Toc226951308"/>
      <w:bookmarkStart w:id="183" w:name="_Toc297822806"/>
      <w:bookmarkStart w:id="184" w:name="_Toc85530559"/>
      <w:bookmarkStart w:id="185" w:name="_Toc271011266"/>
      <w:bookmarkStart w:id="186" w:name="_Toc228651160"/>
      <w:bookmarkStart w:id="187" w:name="_Toc276385371"/>
      <w:bookmarkStart w:id="188" w:name="_Toc89856648"/>
      <w:r>
        <w:rPr>
          <w:rFonts w:hint="eastAsia"/>
        </w:rPr>
        <w:t>培训内容</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95BB545">
      <w:pPr>
        <w:pStyle w:val="28"/>
        <w:rPr>
          <w:rFonts w:hint="eastAsia"/>
        </w:rPr>
      </w:pPr>
      <w:r>
        <w:rPr>
          <w:rFonts w:hint="eastAsia"/>
        </w:rPr>
        <w:t>培训的内容应包括对项目相关业务应用系统的管理、操作、运维，主要侧重于对业务应用系统使用及系统的基本维护、常见问题及解决办法等，并提供实践性的操作，旨在使受训者熟悉平台系统设计的思路，掌握平台的操作和维护等。</w:t>
      </w:r>
    </w:p>
    <w:p w14:paraId="5B543E08">
      <w:pPr>
        <w:pStyle w:val="28"/>
        <w:rPr>
          <w:rFonts w:hint="eastAsia"/>
        </w:rPr>
      </w:pPr>
      <w:r>
        <w:rPr>
          <w:rFonts w:hint="eastAsia"/>
        </w:rPr>
        <w:t>按培训的目的和对象不同，本项目中主要包括的培训，可分为两个类别的培训，依次为：系统操作及管理培训、系统技术及管理培训。</w:t>
      </w:r>
    </w:p>
    <w:p w14:paraId="08F8768C">
      <w:pPr>
        <w:pStyle w:val="28"/>
        <w:rPr>
          <w:rFonts w:hint="eastAsia"/>
        </w:rPr>
      </w:pPr>
      <w:r>
        <w:rPr>
          <w:rFonts w:hint="eastAsia"/>
        </w:rPr>
        <w:t>系统操作及管理培训：对管理人员、系统应用人员的培训，主要包括分功能、分步骤地完成本系统的全部管理、应用的培训，使相关人员能独立、熟练地操作系统完成相关业务。</w:t>
      </w:r>
    </w:p>
    <w:p w14:paraId="78883A5E">
      <w:pPr>
        <w:rPr>
          <w:rFonts w:hint="eastAsia"/>
        </w:rPr>
      </w:pPr>
      <w:r>
        <w:rPr>
          <w:rFonts w:hint="eastAsia"/>
        </w:rPr>
        <w:t>系统技术及管理培训：对管理人员、系统维护人员的培训，主要包括各业务系统的安装调试、配置、升级、使用系统的初始化和操作应用、人员角色基础信息的录入和功能权限配置、系统监控分析优化、系统日常运维、系统紧急故障处理和系统容灾及恢复、系统接口交互等。</w:t>
      </w:r>
    </w:p>
    <w:p w14:paraId="4A7A7C1F">
      <w:pPr>
        <w:ind w:firstLine="0" w:firstLineChars="0"/>
        <w:jc w:val="center"/>
        <w:rPr>
          <w:rFonts w:hint="eastAsia"/>
        </w:rPr>
      </w:pPr>
      <w:r>
        <w:rPr>
          <w:rFonts w:hint="eastAsia"/>
        </w:rPr>
        <w:t xml:space="preserve">表 </w:t>
      </w:r>
      <w:r>
        <w:rPr>
          <w:rFonts w:hint="eastAsia"/>
        </w:rPr>
        <w:fldChar w:fldCharType="begin"/>
      </w:r>
      <w:r>
        <w:rPr>
          <w:rFonts w:hint="eastAsia"/>
        </w:rPr>
        <w:instrText xml:space="preserve"> STYLEREF 1 \s </w:instrText>
      </w:r>
      <w:r>
        <w:rPr>
          <w:rFonts w:hint="eastAsia"/>
        </w:rPr>
        <w:fldChar w:fldCharType="separate"/>
      </w:r>
      <w:r>
        <w:rPr>
          <w:rFonts w:hint="eastAsia"/>
        </w:rPr>
        <w:t>7</w:t>
      </w:r>
      <w:r>
        <w:rPr>
          <w:rFonts w:hint="eastAsia"/>
        </w:rPr>
        <w:fldChar w:fldCharType="end"/>
      </w:r>
      <w:r>
        <w:rPr>
          <w:rFonts w:hint="eastAsia"/>
        </w:rPr>
        <w:t>-</w:t>
      </w:r>
      <w:r>
        <w:rPr>
          <w:rFonts w:hint="eastAsia"/>
        </w:rPr>
        <w:fldChar w:fldCharType="begin"/>
      </w:r>
      <w:r>
        <w:rPr>
          <w:rFonts w:hint="eastAsia"/>
        </w:rPr>
        <w:instrText xml:space="preserve"> SEQ 表 \* ARABIC \s 1 </w:instrText>
      </w:r>
      <w:r>
        <w:rPr>
          <w:rFonts w:hint="eastAsia"/>
        </w:rPr>
        <w:fldChar w:fldCharType="separate"/>
      </w:r>
      <w:r>
        <w:rPr>
          <w:rFonts w:hint="eastAsia"/>
        </w:rPr>
        <w:t>1</w:t>
      </w:r>
      <w:r>
        <w:rPr>
          <w:rFonts w:hint="eastAsia"/>
        </w:rPr>
        <w:fldChar w:fldCharType="end"/>
      </w:r>
      <w:r>
        <w:rPr>
          <w:rFonts w:hint="eastAsia"/>
          <w:b/>
          <w:bCs/>
          <w:color w:val="000000" w:themeColor="text1"/>
          <w14:textFill>
            <w14:solidFill>
              <w14:schemeClr w14:val="tx1"/>
            </w14:solidFill>
          </w14:textFill>
        </w:rPr>
        <w:t>人员培训计划表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2117"/>
        <w:gridCol w:w="1476"/>
        <w:gridCol w:w="1421"/>
        <w:gridCol w:w="1421"/>
      </w:tblGrid>
      <w:tr w14:paraId="4F07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1CE82E43">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序号</w:t>
            </w:r>
          </w:p>
        </w:tc>
        <w:tc>
          <w:tcPr>
            <w:tcW w:w="748" w:type="pct"/>
            <w:vAlign w:val="center"/>
          </w:tcPr>
          <w:p w14:paraId="18D382A3">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培训项目</w:t>
            </w:r>
          </w:p>
        </w:tc>
        <w:tc>
          <w:tcPr>
            <w:tcW w:w="1241" w:type="pct"/>
            <w:vAlign w:val="center"/>
          </w:tcPr>
          <w:p w14:paraId="0A82BDAD">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培训内容</w:t>
            </w:r>
          </w:p>
        </w:tc>
        <w:tc>
          <w:tcPr>
            <w:tcW w:w="865" w:type="pct"/>
            <w:vAlign w:val="center"/>
          </w:tcPr>
          <w:p w14:paraId="55259DAE">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培训对象</w:t>
            </w:r>
          </w:p>
        </w:tc>
        <w:tc>
          <w:tcPr>
            <w:tcW w:w="833" w:type="pct"/>
            <w:vAlign w:val="center"/>
          </w:tcPr>
          <w:p w14:paraId="7701E3FD">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培训方式</w:t>
            </w:r>
          </w:p>
        </w:tc>
        <w:tc>
          <w:tcPr>
            <w:tcW w:w="833" w:type="pct"/>
            <w:vAlign w:val="center"/>
          </w:tcPr>
          <w:p w14:paraId="1E9228F9">
            <w:pPr>
              <w:pStyle w:val="28"/>
              <w:adjustRightInd/>
              <w:snapToGrid/>
              <w:spacing w:before="156" w:beforeLines="50" w:after="156" w:afterLines="50" w:line="240" w:lineRule="auto"/>
              <w:ind w:firstLine="0" w:firstLineChars="0"/>
              <w:rPr>
                <w:rFonts w:hint="eastAsia" w:ascii="仿宋" w:hAnsi="仿宋" w:cs="仿宋"/>
                <w:b/>
                <w:sz w:val="21"/>
                <w:szCs w:val="21"/>
                <w:lang w:val="en-GB"/>
              </w:rPr>
            </w:pPr>
            <w:r>
              <w:rPr>
                <w:rFonts w:hint="eastAsia" w:ascii="仿宋" w:hAnsi="仿宋" w:cs="仿宋"/>
                <w:b/>
                <w:sz w:val="21"/>
                <w:szCs w:val="21"/>
                <w:lang w:val="en-GB"/>
              </w:rPr>
              <w:t>培训效果</w:t>
            </w:r>
          </w:p>
        </w:tc>
      </w:tr>
      <w:tr w14:paraId="3DE3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0B7D2F84">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1</w:t>
            </w:r>
          </w:p>
        </w:tc>
        <w:tc>
          <w:tcPr>
            <w:tcW w:w="748" w:type="pct"/>
            <w:vAlign w:val="center"/>
          </w:tcPr>
          <w:p w14:paraId="69529EDE">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系统操作及管理培训</w:t>
            </w:r>
          </w:p>
        </w:tc>
        <w:tc>
          <w:tcPr>
            <w:tcW w:w="1241" w:type="pct"/>
            <w:vAlign w:val="center"/>
          </w:tcPr>
          <w:p w14:paraId="42DA91CA">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系统功能操作、系统应用</w:t>
            </w:r>
          </w:p>
        </w:tc>
        <w:tc>
          <w:tcPr>
            <w:tcW w:w="865" w:type="pct"/>
            <w:vAlign w:val="center"/>
          </w:tcPr>
          <w:p w14:paraId="0B5BCD80">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管理人员、系统业务人员、系统使用人员</w:t>
            </w:r>
          </w:p>
        </w:tc>
        <w:tc>
          <w:tcPr>
            <w:tcW w:w="833" w:type="pct"/>
            <w:vAlign w:val="center"/>
          </w:tcPr>
          <w:p w14:paraId="433D3FEE">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培训教材+授课+练习考核</w:t>
            </w:r>
          </w:p>
        </w:tc>
        <w:tc>
          <w:tcPr>
            <w:tcW w:w="833" w:type="pct"/>
            <w:vAlign w:val="center"/>
          </w:tcPr>
          <w:p w14:paraId="05A075C6">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使相关人员能独立、熟练地操作系统完成相关业务。</w:t>
            </w:r>
          </w:p>
        </w:tc>
      </w:tr>
      <w:tr w14:paraId="0CE8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9" w:type="pct"/>
            <w:vAlign w:val="center"/>
          </w:tcPr>
          <w:p w14:paraId="0FD42244">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2</w:t>
            </w:r>
          </w:p>
        </w:tc>
        <w:tc>
          <w:tcPr>
            <w:tcW w:w="748" w:type="pct"/>
            <w:vAlign w:val="center"/>
          </w:tcPr>
          <w:p w14:paraId="6C3E25C3">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系统技术及管理培训</w:t>
            </w:r>
          </w:p>
        </w:tc>
        <w:tc>
          <w:tcPr>
            <w:tcW w:w="1241" w:type="pct"/>
            <w:vAlign w:val="center"/>
          </w:tcPr>
          <w:p w14:paraId="441D9B74">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系统的的安装调试、配置、升级、使用系统的初始化和操作应用、人员角色基础信息的录入和功能权限配置、系统监控分析优化、系统日常运维、系统紧急故障处理等</w:t>
            </w:r>
          </w:p>
        </w:tc>
        <w:tc>
          <w:tcPr>
            <w:tcW w:w="865" w:type="pct"/>
            <w:vAlign w:val="center"/>
          </w:tcPr>
          <w:p w14:paraId="1BA47DFE">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rPr>
              <w:t>管理人员、系统维护人员</w:t>
            </w:r>
          </w:p>
        </w:tc>
        <w:tc>
          <w:tcPr>
            <w:tcW w:w="833" w:type="pct"/>
            <w:vAlign w:val="center"/>
          </w:tcPr>
          <w:p w14:paraId="156C6E22">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培训教材+授课+练习考核</w:t>
            </w:r>
          </w:p>
        </w:tc>
        <w:tc>
          <w:tcPr>
            <w:tcW w:w="833" w:type="pct"/>
            <w:vAlign w:val="center"/>
          </w:tcPr>
          <w:p w14:paraId="0AF04220">
            <w:pPr>
              <w:pStyle w:val="28"/>
              <w:adjustRightInd/>
              <w:snapToGrid/>
              <w:spacing w:before="156" w:beforeLines="50" w:after="156" w:afterLines="50" w:line="240" w:lineRule="auto"/>
              <w:ind w:firstLine="0" w:firstLineChars="0"/>
              <w:rPr>
                <w:rFonts w:hint="eastAsia" w:ascii="仿宋" w:hAnsi="仿宋" w:cs="仿宋"/>
                <w:sz w:val="21"/>
                <w:szCs w:val="21"/>
                <w:lang w:val="en-GB"/>
              </w:rPr>
            </w:pPr>
            <w:r>
              <w:rPr>
                <w:rFonts w:hint="eastAsia" w:ascii="仿宋" w:hAnsi="仿宋" w:cs="仿宋"/>
                <w:sz w:val="21"/>
                <w:szCs w:val="21"/>
                <w:lang w:val="en-GB"/>
              </w:rPr>
              <w:t>掌握常规的系统技术，能调试、配置等运行维护，能处理系统日常的故障和维护</w:t>
            </w:r>
          </w:p>
        </w:tc>
      </w:tr>
    </w:tbl>
    <w:p w14:paraId="134CEEFE">
      <w:pPr>
        <w:rPr>
          <w:rFonts w:hint="eastAsia"/>
        </w:rPr>
      </w:pPr>
    </w:p>
    <w:p w14:paraId="2785A832">
      <w:pPr>
        <w:pStyle w:val="3"/>
        <w:rPr>
          <w:rFonts w:hint="eastAsia"/>
        </w:rPr>
      </w:pPr>
      <w:bookmarkStart w:id="189" w:name="_Toc176101086"/>
      <w:r>
        <w:rPr>
          <w:rFonts w:hint="eastAsia"/>
        </w:rPr>
        <w:t>项目实施进度</w:t>
      </w:r>
      <w:bookmarkEnd w:id="189"/>
    </w:p>
    <w:p w14:paraId="4870E825">
      <w:pPr>
        <w:pStyle w:val="12"/>
        <w:ind w:firstLine="520"/>
        <w:rPr>
          <w:rFonts w:hint="eastAsia"/>
        </w:rPr>
      </w:pPr>
      <w:r>
        <w:rPr>
          <w:rFonts w:hint="eastAsia"/>
        </w:rPr>
        <w:t>本次信息化建设项目建设的实施分为以下三个阶段：</w:t>
      </w:r>
    </w:p>
    <w:p w14:paraId="111473FB">
      <w:pPr>
        <w:pStyle w:val="12"/>
        <w:ind w:firstLine="520"/>
        <w:rPr>
          <w:rFonts w:hint="eastAsia"/>
        </w:rPr>
      </w:pPr>
      <w:r>
        <w:rPr>
          <w:rFonts w:hint="eastAsia"/>
        </w:rPr>
        <w:t>第一阶段：项目建设的准备阶段</w:t>
      </w:r>
    </w:p>
    <w:p w14:paraId="72294259">
      <w:pPr>
        <w:pStyle w:val="12"/>
        <w:ind w:firstLine="520"/>
        <w:rPr>
          <w:rFonts w:hint="eastAsia"/>
        </w:rPr>
      </w:pPr>
      <w:r>
        <w:rPr>
          <w:rFonts w:hint="eastAsia"/>
        </w:rPr>
        <w:t>项目建设的准备阶段，主要是一系列前期准备工作的完成。包括全省、市、区同类项目考察、资料的收集和调研、项目建议书和可研报告的拟定、各项信息系统需求的确定、专家评审、项目建设经费的来源以及项目建设期限的确立等。</w:t>
      </w:r>
    </w:p>
    <w:p w14:paraId="0A4B6EBC">
      <w:pPr>
        <w:pStyle w:val="12"/>
        <w:ind w:firstLine="520"/>
        <w:rPr>
          <w:rFonts w:hint="eastAsia"/>
        </w:rPr>
      </w:pPr>
      <w:r>
        <w:rPr>
          <w:rFonts w:hint="eastAsia"/>
        </w:rPr>
        <w:t>第二阶段：项目建设的确立</w:t>
      </w:r>
    </w:p>
    <w:p w14:paraId="3486616D">
      <w:pPr>
        <w:pStyle w:val="12"/>
        <w:ind w:firstLine="520"/>
        <w:rPr>
          <w:rFonts w:hint="eastAsia"/>
        </w:rPr>
      </w:pPr>
      <w:r>
        <w:rPr>
          <w:rFonts w:hint="eastAsia"/>
        </w:rPr>
        <w:t>本阶段的工作内容主要包括项目建设方案设计、项目招标、承建单位等。</w:t>
      </w:r>
    </w:p>
    <w:p w14:paraId="2CBC61D3">
      <w:pPr>
        <w:pStyle w:val="12"/>
        <w:ind w:firstLine="520"/>
        <w:rPr>
          <w:rFonts w:hint="eastAsia"/>
        </w:rPr>
      </w:pPr>
      <w:r>
        <w:rPr>
          <w:rFonts w:hint="eastAsia"/>
        </w:rPr>
        <w:t>第三阶段：项目的实施</w:t>
      </w:r>
    </w:p>
    <w:p w14:paraId="1B95F4F2">
      <w:pPr>
        <w:rPr>
          <w:rFonts w:hint="eastAsia"/>
        </w:rPr>
      </w:pPr>
      <w:r>
        <w:rPr>
          <w:rFonts w:hint="eastAsia"/>
        </w:rPr>
        <w:t>本阶段为项目建设的实施阶段，工作内容包括了项目建设合同和监理合同的签署，信息系统分批建设、验收申请及竣工交付使用等。</w:t>
      </w:r>
    </w:p>
    <w:p w14:paraId="24BB5BDE">
      <w:pPr>
        <w:pStyle w:val="12"/>
        <w:ind w:firstLine="520"/>
        <w:rPr>
          <w:rFonts w:hint="eastAsia"/>
        </w:rPr>
      </w:pPr>
      <w:r>
        <w:rPr>
          <w:rFonts w:hint="eastAsia"/>
        </w:rPr>
        <w:t>第四阶段：项目的验收审计</w:t>
      </w:r>
    </w:p>
    <w:p w14:paraId="5EEDBD73">
      <w:pPr>
        <w:pStyle w:val="2"/>
        <w:rPr>
          <w:rFonts w:hint="eastAsia"/>
        </w:rPr>
      </w:pPr>
      <w:r>
        <w:rPr>
          <w:rFonts w:hint="eastAsia"/>
        </w:rPr>
        <w:t>本阶段为项目建设的验收审计阶段，要点涉及是否按规定程序和要求组织验收，</w:t>
      </w:r>
      <w:r>
        <w:rPr>
          <w:rFonts w:hint="eastAsia" w:ascii="仿宋" w:hAnsi="仿宋" w:cs="仿宋"/>
        </w:rPr>
        <w:t>检查有关手续是否齐全，以及是否按要求开展各子项专业验收。需审查合同履行是否全面、真实，有无违约行为等。</w:t>
      </w:r>
    </w:p>
    <w:p w14:paraId="01BAFD52">
      <w:pPr>
        <w:pStyle w:val="3"/>
        <w:rPr>
          <w:rFonts w:hint="eastAsia"/>
        </w:rPr>
      </w:pPr>
      <w:bookmarkStart w:id="190" w:name="_Toc176101087"/>
      <w:r>
        <w:rPr>
          <w:rFonts w:hint="eastAsia"/>
        </w:rPr>
        <w:t>项目风险分析</w:t>
      </w:r>
      <w:bookmarkEnd w:id="190"/>
    </w:p>
    <w:p w14:paraId="736F516E">
      <w:pPr>
        <w:pStyle w:val="4"/>
        <w:rPr>
          <w:rFonts w:hint="eastAsia"/>
        </w:rPr>
      </w:pPr>
      <w:bookmarkStart w:id="191" w:name="_Toc499910810"/>
      <w:bookmarkStart w:id="192" w:name="_Toc459905901"/>
      <w:bookmarkStart w:id="193" w:name="_Toc142382578"/>
      <w:bookmarkStart w:id="194" w:name="_Toc22431"/>
      <w:bookmarkStart w:id="195" w:name="_Toc495576929"/>
      <w:bookmarkStart w:id="196" w:name="_Toc176101088"/>
      <w:bookmarkStart w:id="197" w:name="_Toc459906039"/>
      <w:r>
        <w:rPr>
          <w:rFonts w:hint="eastAsia"/>
        </w:rPr>
        <w:t>协调风险及控制</w:t>
      </w:r>
      <w:bookmarkEnd w:id="191"/>
      <w:bookmarkEnd w:id="192"/>
      <w:bookmarkEnd w:id="193"/>
      <w:bookmarkEnd w:id="194"/>
      <w:bookmarkEnd w:id="195"/>
      <w:bookmarkEnd w:id="196"/>
      <w:bookmarkEnd w:id="197"/>
    </w:p>
    <w:p w14:paraId="7F8F0585">
      <w:pPr>
        <w:rPr>
          <w:rFonts w:hint="eastAsia"/>
          <w:szCs w:val="24"/>
        </w:rPr>
      </w:pPr>
      <w:r>
        <w:rPr>
          <w:rFonts w:hint="eastAsia"/>
          <w:szCs w:val="24"/>
        </w:rPr>
        <w:t>由于医院信息化建设项目涉及到门诊科、信息科、医务科、护理科等科室之间的业务协同，且它们分布在不同的业务部门，因此处理各自的工作时出现不统一的工作节奏，因此要建设统一模式，需要协调各个相关部门，统一认识。</w:t>
      </w:r>
    </w:p>
    <w:p w14:paraId="2A416E16">
      <w:pPr>
        <w:rPr>
          <w:rFonts w:hint="eastAsia"/>
          <w:szCs w:val="24"/>
        </w:rPr>
      </w:pPr>
      <w:r>
        <w:rPr>
          <w:rFonts w:hint="eastAsia"/>
          <w:szCs w:val="24"/>
        </w:rPr>
        <w:t>医院信息化建设项目是为重庆市市民提供健康、医疗服务的，要求动员和依靠医管局及兄弟单位方方面面的力量来共同完成。因此领导必须重视，规章制度要健全。由于工作牵涉的单位多、部门杂，实现统一集中运作，需要各联动单位积极响应，希望用户单位牵头召开有关会议，进行组织协调工作，在技术集群、人员集中、集成管理等方面统一思想，形成共识，为实现“通过医疗信息化建设，加强监管能力、提高决策水平和管理效能；优化医疗服务流程、降低运行成本、提高医疗服务质量、减轻市民就诊及医药费用负担；加强公共卫生应急处理能力。”的构想提供有力的思想和组织保障。</w:t>
      </w:r>
    </w:p>
    <w:p w14:paraId="62C6D690">
      <w:pPr>
        <w:pStyle w:val="4"/>
        <w:rPr>
          <w:rFonts w:hint="eastAsia"/>
        </w:rPr>
      </w:pPr>
      <w:bookmarkStart w:id="198" w:name="_Toc142382579"/>
      <w:bookmarkStart w:id="199" w:name="_Toc14156"/>
      <w:bookmarkStart w:id="200" w:name="_Toc176101089"/>
      <w:bookmarkStart w:id="201" w:name="_Toc459905900"/>
      <w:bookmarkStart w:id="202" w:name="_Toc459906038"/>
      <w:bookmarkStart w:id="203" w:name="_Toc495576928"/>
      <w:bookmarkStart w:id="204" w:name="_Toc499910811"/>
      <w:bookmarkStart w:id="205" w:name="_Toc495576930"/>
      <w:bookmarkStart w:id="206" w:name="_Toc459906041"/>
      <w:bookmarkStart w:id="207" w:name="_Toc459905903"/>
      <w:r>
        <w:rPr>
          <w:rFonts w:hint="eastAsia"/>
        </w:rPr>
        <w:t>项目技术风险控制</w:t>
      </w:r>
      <w:bookmarkEnd w:id="198"/>
      <w:bookmarkEnd w:id="199"/>
      <w:bookmarkEnd w:id="200"/>
      <w:bookmarkEnd w:id="201"/>
      <w:bookmarkEnd w:id="202"/>
      <w:bookmarkEnd w:id="203"/>
      <w:bookmarkEnd w:id="204"/>
    </w:p>
    <w:p w14:paraId="3A5742A5">
      <w:pPr>
        <w:rPr>
          <w:rFonts w:hint="eastAsia"/>
          <w:szCs w:val="24"/>
        </w:rPr>
      </w:pPr>
      <w:r>
        <w:rPr>
          <w:rFonts w:hint="eastAsia"/>
          <w:szCs w:val="24"/>
        </w:rPr>
        <w:t>医院信息化建设项目是一个跨学科、跨专业的综合系统工程，这一系统工程是以计算机网络系统、物联网平台为基础，以通信系统、云计算技术为纽带，以集成数据采集与交换、全数字化医疗临床信息应用和医院综合运营管理服务系统为技术支撑的技术综合体，因此技术发展给项目的建设带来一定的风险，避免系统投入使用，技术已落后的可能。由于不同地区、部门系统的设计理念及技术规范的不同，系统和硬件设计的不同，因此没有经过实际运行的技术，是可能存在技术风险。但我们在整体设计中尽可能使用较为成熟的技术，并部分开展物联网及虚拟化技术的应用，同时利用先进的</w:t>
      </w:r>
      <w:r>
        <w:rPr>
          <w:szCs w:val="24"/>
        </w:rPr>
        <w:t>ITSM</w:t>
      </w:r>
      <w:r>
        <w:rPr>
          <w:rFonts w:hint="eastAsia"/>
          <w:szCs w:val="24"/>
        </w:rPr>
        <w:t>技术运维管理系统的支持，是能够把握“稳中快跑、适度超前”的建设思路的，总体在技术风险上是可控、可规避的。</w:t>
      </w:r>
    </w:p>
    <w:p w14:paraId="15E14803">
      <w:pPr>
        <w:pStyle w:val="4"/>
        <w:rPr>
          <w:rFonts w:hint="eastAsia"/>
        </w:rPr>
      </w:pPr>
      <w:bookmarkStart w:id="208" w:name="_Toc23468"/>
      <w:bookmarkStart w:id="209" w:name="_Toc499910812"/>
      <w:bookmarkStart w:id="210" w:name="_Toc142382580"/>
      <w:bookmarkStart w:id="211" w:name="_Toc176101090"/>
      <w:r>
        <w:rPr>
          <w:rFonts w:hint="eastAsia"/>
        </w:rPr>
        <w:t>社会影响风险及控制</w:t>
      </w:r>
      <w:bookmarkEnd w:id="205"/>
      <w:bookmarkEnd w:id="206"/>
      <w:bookmarkEnd w:id="207"/>
      <w:bookmarkEnd w:id="208"/>
      <w:bookmarkEnd w:id="209"/>
      <w:bookmarkEnd w:id="210"/>
      <w:bookmarkEnd w:id="211"/>
    </w:p>
    <w:p w14:paraId="456B4413">
      <w:pPr>
        <w:rPr>
          <w:rFonts w:hint="eastAsia"/>
          <w:szCs w:val="24"/>
        </w:rPr>
      </w:pPr>
      <w:r>
        <w:rPr>
          <w:rFonts w:hint="eastAsia"/>
          <w:szCs w:val="24"/>
        </w:rPr>
        <w:t>项目的参与单位对项目系统重要性认识不到位、服务意识不强、业务人员技术问题、网络发展不平衡，项目建设阶段的问题，都可能使医院智能化建设项目在社会各阶层造成不好的影响。</w:t>
      </w:r>
    </w:p>
    <w:p w14:paraId="534554CD">
      <w:pPr>
        <w:rPr>
          <w:rFonts w:hint="eastAsia"/>
          <w:szCs w:val="24"/>
        </w:rPr>
      </w:pPr>
      <w:r>
        <w:rPr>
          <w:rFonts w:hint="eastAsia"/>
          <w:szCs w:val="24"/>
        </w:rPr>
        <w:t>可以通过各种途径提高医院信息化建设项目在重庆市的认知率，为本项目工作创造良好的舆论氛围，项目相关单位成员结合本单位的实际情况，加强基本硬件建设，同时通过培训提高内部人员的实际工作能力。联动单位加强内部沟通，防止出现互相推倭，扯皮现象，这样才能提高联动系统在社会的影响力。</w:t>
      </w:r>
    </w:p>
    <w:p w14:paraId="67EBF276">
      <w:pPr>
        <w:pStyle w:val="2"/>
        <w:rPr>
          <w:rFonts w:hint="eastAsia"/>
        </w:rPr>
        <w:sectPr>
          <w:pgSz w:w="11906" w:h="16838"/>
          <w:pgMar w:top="1440" w:right="1797" w:bottom="1440" w:left="1797" w:header="851" w:footer="992" w:gutter="0"/>
          <w:pgBorders>
            <w:top w:val="single" w:color="auto" w:sz="4" w:space="1"/>
            <w:bottom w:val="single" w:color="auto" w:sz="4" w:space="1"/>
          </w:pgBorders>
          <w:pgNumType w:start="1"/>
          <w:cols w:space="425" w:num="1"/>
          <w:docGrid w:type="lines" w:linePitch="312" w:charSpace="0"/>
        </w:sectPr>
      </w:pPr>
    </w:p>
    <w:p w14:paraId="6D59BAB5">
      <w:pPr>
        <w:pStyle w:val="3"/>
        <w:numPr>
          <w:ilvl w:val="0"/>
          <w:numId w:val="0"/>
        </w:numPr>
        <w:ind w:left="432"/>
        <w:rPr>
          <w:rFonts w:hint="eastAsia"/>
        </w:rPr>
      </w:pPr>
      <w:bookmarkStart w:id="212" w:name="_Toc176101091"/>
      <w:r>
        <w:rPr>
          <w:rFonts w:hint="eastAsia"/>
        </w:rPr>
        <w:t>附表1：项目软件配置清单及预算</w:t>
      </w:r>
      <w:bookmarkEnd w:id="212"/>
    </w:p>
    <w:p w14:paraId="61D43AF5">
      <w:pPr>
        <w:rPr>
          <w:rFonts w:hint="eastAsia"/>
          <w:szCs w:val="24"/>
        </w:rPr>
      </w:pPr>
      <w:r>
        <w:rPr>
          <w:rFonts w:hint="eastAsia"/>
          <w:szCs w:val="24"/>
        </w:rPr>
        <w:t>系统软件配置：</w:t>
      </w:r>
    </w:p>
    <w:tbl>
      <w:tblPr>
        <w:tblStyle w:val="29"/>
        <w:tblW w:w="4346"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2"/>
        <w:gridCol w:w="3689"/>
        <w:gridCol w:w="1276"/>
        <w:gridCol w:w="1276"/>
      </w:tblGrid>
      <w:tr w14:paraId="15DDC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6" w:type="pct"/>
          </w:tcPr>
          <w:p w14:paraId="613EF476">
            <w:pPr>
              <w:spacing w:before="123" w:line="221" w:lineRule="auto"/>
              <w:ind w:firstLine="0" w:firstLineChars="0"/>
              <w:jc w:val="center"/>
              <w:rPr>
                <w:rFonts w:hint="eastAsia"/>
                <w:szCs w:val="24"/>
              </w:rPr>
            </w:pPr>
            <w:r>
              <w:rPr>
                <w:szCs w:val="24"/>
              </w:rPr>
              <w:t>序号</w:t>
            </w:r>
          </w:p>
        </w:tc>
        <w:tc>
          <w:tcPr>
            <w:tcW w:w="2550" w:type="pct"/>
          </w:tcPr>
          <w:p w14:paraId="23C0BB02">
            <w:pPr>
              <w:spacing w:before="123" w:line="221" w:lineRule="auto"/>
              <w:ind w:firstLine="0" w:firstLineChars="0"/>
              <w:jc w:val="center"/>
              <w:rPr>
                <w:rFonts w:hint="eastAsia"/>
                <w:szCs w:val="24"/>
              </w:rPr>
            </w:pPr>
            <w:r>
              <w:rPr>
                <w:szCs w:val="24"/>
              </w:rPr>
              <w:t>名   称</w:t>
            </w:r>
          </w:p>
        </w:tc>
        <w:tc>
          <w:tcPr>
            <w:tcW w:w="882" w:type="pct"/>
          </w:tcPr>
          <w:p w14:paraId="3EFF6CED">
            <w:pPr>
              <w:spacing w:before="123" w:line="221" w:lineRule="auto"/>
              <w:ind w:firstLine="0" w:firstLineChars="0"/>
              <w:jc w:val="center"/>
              <w:rPr>
                <w:rFonts w:hint="eastAsia"/>
                <w:szCs w:val="24"/>
              </w:rPr>
            </w:pPr>
            <w:r>
              <w:rPr>
                <w:szCs w:val="24"/>
              </w:rPr>
              <w:t>数量</w:t>
            </w:r>
          </w:p>
        </w:tc>
        <w:tc>
          <w:tcPr>
            <w:tcW w:w="882" w:type="pct"/>
            <w:vAlign w:val="center"/>
          </w:tcPr>
          <w:p w14:paraId="66C34A1D">
            <w:pPr>
              <w:spacing w:before="123" w:line="221" w:lineRule="auto"/>
              <w:ind w:firstLine="0" w:firstLineChars="0"/>
              <w:jc w:val="center"/>
              <w:rPr>
                <w:rFonts w:hint="eastAsia"/>
                <w:szCs w:val="24"/>
              </w:rPr>
            </w:pPr>
            <w:r>
              <w:rPr>
                <w:rFonts w:hint="eastAsia"/>
                <w:szCs w:val="24"/>
              </w:rPr>
              <w:t>预算</w:t>
            </w:r>
          </w:p>
        </w:tc>
      </w:tr>
      <w:tr w14:paraId="4F48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86" w:type="pct"/>
          </w:tcPr>
          <w:p w14:paraId="7643B830">
            <w:pPr>
              <w:spacing w:before="123" w:line="219" w:lineRule="auto"/>
              <w:ind w:firstLine="0" w:firstLineChars="0"/>
              <w:jc w:val="center"/>
              <w:rPr>
                <w:rFonts w:hint="eastAsia"/>
                <w:szCs w:val="24"/>
              </w:rPr>
            </w:pPr>
            <w:r>
              <w:rPr>
                <w:szCs w:val="24"/>
              </w:rPr>
              <w:t>1</w:t>
            </w:r>
          </w:p>
        </w:tc>
        <w:tc>
          <w:tcPr>
            <w:tcW w:w="2550" w:type="pct"/>
          </w:tcPr>
          <w:p w14:paraId="37A576DF">
            <w:pPr>
              <w:spacing w:before="123" w:line="219" w:lineRule="auto"/>
              <w:ind w:firstLine="0" w:firstLineChars="0"/>
              <w:jc w:val="center"/>
              <w:rPr>
                <w:rFonts w:hint="eastAsia"/>
                <w:szCs w:val="24"/>
              </w:rPr>
            </w:pPr>
            <w:r>
              <w:rPr>
                <w:rFonts w:hint="eastAsia"/>
              </w:rPr>
              <w:t>机房装修工程</w:t>
            </w:r>
          </w:p>
        </w:tc>
        <w:tc>
          <w:tcPr>
            <w:tcW w:w="882" w:type="pct"/>
          </w:tcPr>
          <w:p w14:paraId="7736B46A">
            <w:pPr>
              <w:spacing w:before="123" w:line="219" w:lineRule="auto"/>
              <w:ind w:firstLine="0" w:firstLineChars="0"/>
              <w:jc w:val="center"/>
              <w:rPr>
                <w:rFonts w:hint="eastAsia"/>
                <w:szCs w:val="24"/>
              </w:rPr>
            </w:pPr>
            <w:r>
              <w:rPr>
                <w:szCs w:val="24"/>
              </w:rPr>
              <w:t>1套</w:t>
            </w:r>
          </w:p>
        </w:tc>
        <w:tc>
          <w:tcPr>
            <w:tcW w:w="882" w:type="pct"/>
            <w:vAlign w:val="center"/>
          </w:tcPr>
          <w:p w14:paraId="03A45377">
            <w:pPr>
              <w:spacing w:before="123" w:line="219" w:lineRule="auto"/>
              <w:ind w:firstLine="0" w:firstLineChars="0"/>
              <w:jc w:val="center"/>
              <w:rPr>
                <w:rFonts w:hint="eastAsia"/>
                <w:szCs w:val="24"/>
              </w:rPr>
            </w:pPr>
            <w:r>
              <w:rPr>
                <w:rFonts w:hint="eastAsia"/>
                <w:szCs w:val="24"/>
              </w:rPr>
              <w:t>3.5万元</w:t>
            </w:r>
          </w:p>
        </w:tc>
      </w:tr>
      <w:tr w14:paraId="67468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6" w:type="pct"/>
          </w:tcPr>
          <w:p w14:paraId="02BFB121">
            <w:pPr>
              <w:spacing w:before="123" w:line="219" w:lineRule="auto"/>
              <w:ind w:firstLine="0" w:firstLineChars="0"/>
              <w:jc w:val="center"/>
              <w:rPr>
                <w:rFonts w:hint="eastAsia"/>
                <w:szCs w:val="24"/>
              </w:rPr>
            </w:pPr>
            <w:r>
              <w:rPr>
                <w:szCs w:val="24"/>
              </w:rPr>
              <w:t>2</w:t>
            </w:r>
          </w:p>
        </w:tc>
        <w:tc>
          <w:tcPr>
            <w:tcW w:w="2550" w:type="pct"/>
          </w:tcPr>
          <w:p w14:paraId="6E02AD83">
            <w:pPr>
              <w:spacing w:before="123" w:line="219" w:lineRule="auto"/>
              <w:ind w:firstLine="0" w:firstLineChars="0"/>
              <w:jc w:val="center"/>
              <w:rPr>
                <w:rFonts w:hint="eastAsia"/>
                <w:szCs w:val="24"/>
              </w:rPr>
            </w:pPr>
            <w:r>
              <w:rPr>
                <w:rFonts w:hint="eastAsia"/>
              </w:rPr>
              <w:t>机房防雷接地及配电系统</w:t>
            </w:r>
          </w:p>
        </w:tc>
        <w:tc>
          <w:tcPr>
            <w:tcW w:w="882" w:type="pct"/>
          </w:tcPr>
          <w:p w14:paraId="336F161D">
            <w:pPr>
              <w:spacing w:before="123" w:line="219" w:lineRule="auto"/>
              <w:ind w:firstLine="0" w:firstLineChars="0"/>
              <w:jc w:val="center"/>
              <w:rPr>
                <w:rFonts w:hint="eastAsia"/>
                <w:szCs w:val="24"/>
              </w:rPr>
            </w:pPr>
            <w:r>
              <w:rPr>
                <w:szCs w:val="24"/>
              </w:rPr>
              <w:t>1套</w:t>
            </w:r>
          </w:p>
        </w:tc>
        <w:tc>
          <w:tcPr>
            <w:tcW w:w="882" w:type="pct"/>
          </w:tcPr>
          <w:p w14:paraId="1F985959">
            <w:pPr>
              <w:spacing w:before="123" w:line="219" w:lineRule="auto"/>
              <w:ind w:firstLine="0" w:firstLineChars="0"/>
              <w:jc w:val="center"/>
              <w:rPr>
                <w:rFonts w:hint="eastAsia"/>
                <w:szCs w:val="24"/>
              </w:rPr>
            </w:pPr>
            <w:r>
              <w:rPr>
                <w:rFonts w:hint="eastAsia"/>
                <w:szCs w:val="24"/>
              </w:rPr>
              <w:t>3万元</w:t>
            </w:r>
          </w:p>
        </w:tc>
      </w:tr>
      <w:tr w14:paraId="2E228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6" w:type="pct"/>
          </w:tcPr>
          <w:p w14:paraId="1E17FA33">
            <w:pPr>
              <w:spacing w:before="123" w:line="219" w:lineRule="auto"/>
              <w:ind w:firstLine="0" w:firstLineChars="0"/>
              <w:jc w:val="center"/>
              <w:rPr>
                <w:rFonts w:hint="eastAsia"/>
                <w:szCs w:val="24"/>
              </w:rPr>
            </w:pPr>
            <w:r>
              <w:rPr>
                <w:szCs w:val="24"/>
              </w:rPr>
              <w:t>3</w:t>
            </w:r>
          </w:p>
        </w:tc>
        <w:tc>
          <w:tcPr>
            <w:tcW w:w="2550" w:type="pct"/>
          </w:tcPr>
          <w:p w14:paraId="12CE9B66">
            <w:pPr>
              <w:spacing w:before="123" w:line="219" w:lineRule="auto"/>
              <w:ind w:firstLine="0" w:firstLineChars="0"/>
              <w:jc w:val="center"/>
              <w:rPr>
                <w:rFonts w:hint="eastAsia"/>
                <w:szCs w:val="24"/>
              </w:rPr>
            </w:pPr>
            <w:r>
              <w:rPr>
                <w:rFonts w:hint="eastAsia"/>
              </w:rPr>
              <w:t>机房气体灭火控制系统</w:t>
            </w:r>
          </w:p>
        </w:tc>
        <w:tc>
          <w:tcPr>
            <w:tcW w:w="882" w:type="pct"/>
          </w:tcPr>
          <w:p w14:paraId="7039C2F6">
            <w:pPr>
              <w:spacing w:before="123" w:line="219" w:lineRule="auto"/>
              <w:ind w:firstLine="0" w:firstLineChars="0"/>
              <w:jc w:val="center"/>
              <w:rPr>
                <w:rFonts w:hint="eastAsia"/>
                <w:szCs w:val="24"/>
              </w:rPr>
            </w:pPr>
            <w:r>
              <w:rPr>
                <w:szCs w:val="24"/>
              </w:rPr>
              <w:t>1套</w:t>
            </w:r>
          </w:p>
        </w:tc>
        <w:tc>
          <w:tcPr>
            <w:tcW w:w="882" w:type="pct"/>
          </w:tcPr>
          <w:p w14:paraId="438D8BF7">
            <w:pPr>
              <w:spacing w:before="123" w:line="219" w:lineRule="auto"/>
              <w:ind w:firstLine="0" w:firstLineChars="0"/>
              <w:jc w:val="center"/>
              <w:rPr>
                <w:rFonts w:hint="eastAsia"/>
                <w:szCs w:val="24"/>
              </w:rPr>
            </w:pPr>
            <w:r>
              <w:rPr>
                <w:rFonts w:hint="eastAsia"/>
                <w:szCs w:val="24"/>
              </w:rPr>
              <w:t>2.5万元</w:t>
            </w:r>
          </w:p>
        </w:tc>
      </w:tr>
      <w:tr w14:paraId="50B3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6" w:type="pct"/>
          </w:tcPr>
          <w:p w14:paraId="3D0C190F">
            <w:pPr>
              <w:spacing w:before="123" w:line="219" w:lineRule="auto"/>
              <w:ind w:firstLine="0" w:firstLineChars="0"/>
              <w:jc w:val="center"/>
              <w:rPr>
                <w:rFonts w:hint="eastAsia"/>
                <w:szCs w:val="24"/>
              </w:rPr>
            </w:pPr>
            <w:r>
              <w:rPr>
                <w:szCs w:val="24"/>
              </w:rPr>
              <w:t>4</w:t>
            </w:r>
          </w:p>
        </w:tc>
        <w:tc>
          <w:tcPr>
            <w:tcW w:w="2550" w:type="pct"/>
          </w:tcPr>
          <w:p w14:paraId="4B2C6D94">
            <w:pPr>
              <w:spacing w:before="123" w:line="219" w:lineRule="auto"/>
              <w:ind w:firstLine="0" w:firstLineChars="0"/>
              <w:jc w:val="center"/>
              <w:rPr>
                <w:rFonts w:hint="eastAsia"/>
                <w:szCs w:val="24"/>
              </w:rPr>
            </w:pPr>
            <w:r>
              <w:rPr>
                <w:rFonts w:hint="eastAsia"/>
              </w:rPr>
              <w:t>机房动环系统</w:t>
            </w:r>
          </w:p>
        </w:tc>
        <w:tc>
          <w:tcPr>
            <w:tcW w:w="882" w:type="pct"/>
          </w:tcPr>
          <w:p w14:paraId="33926625">
            <w:pPr>
              <w:spacing w:before="123" w:line="219" w:lineRule="auto"/>
              <w:ind w:firstLine="0" w:firstLineChars="0"/>
              <w:jc w:val="center"/>
              <w:rPr>
                <w:rFonts w:hint="eastAsia"/>
                <w:szCs w:val="24"/>
              </w:rPr>
            </w:pPr>
            <w:r>
              <w:rPr>
                <w:szCs w:val="24"/>
              </w:rPr>
              <w:t>1套</w:t>
            </w:r>
          </w:p>
        </w:tc>
        <w:tc>
          <w:tcPr>
            <w:tcW w:w="882" w:type="pct"/>
          </w:tcPr>
          <w:p w14:paraId="43A25429">
            <w:pPr>
              <w:spacing w:before="123" w:line="219" w:lineRule="auto"/>
              <w:ind w:firstLine="0" w:firstLineChars="0"/>
              <w:jc w:val="center"/>
              <w:rPr>
                <w:rFonts w:hint="eastAsia"/>
                <w:szCs w:val="24"/>
              </w:rPr>
            </w:pPr>
            <w:r>
              <w:rPr>
                <w:rFonts w:hint="eastAsia"/>
                <w:szCs w:val="24"/>
              </w:rPr>
              <w:t>3万元</w:t>
            </w:r>
          </w:p>
        </w:tc>
      </w:tr>
      <w:tr w14:paraId="64D94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6" w:type="pct"/>
          </w:tcPr>
          <w:p w14:paraId="4B338318">
            <w:pPr>
              <w:spacing w:before="123" w:line="219" w:lineRule="auto"/>
              <w:ind w:firstLine="0" w:firstLineChars="0"/>
              <w:jc w:val="center"/>
              <w:rPr>
                <w:rFonts w:hint="eastAsia"/>
                <w:szCs w:val="24"/>
              </w:rPr>
            </w:pPr>
            <w:r>
              <w:rPr>
                <w:rFonts w:hint="eastAsia"/>
                <w:szCs w:val="24"/>
              </w:rPr>
              <w:t>5</w:t>
            </w:r>
          </w:p>
        </w:tc>
        <w:tc>
          <w:tcPr>
            <w:tcW w:w="2550" w:type="pct"/>
          </w:tcPr>
          <w:p w14:paraId="69E5556F">
            <w:pPr>
              <w:spacing w:before="123" w:line="219" w:lineRule="auto"/>
              <w:ind w:firstLine="0" w:firstLineChars="0"/>
              <w:jc w:val="center"/>
              <w:rPr>
                <w:rFonts w:hint="eastAsia"/>
                <w:szCs w:val="24"/>
              </w:rPr>
            </w:pPr>
            <w:r>
              <w:rPr>
                <w:rFonts w:hint="eastAsia"/>
              </w:rPr>
              <w:t>机房信息网络及网络安全系统</w:t>
            </w:r>
          </w:p>
        </w:tc>
        <w:tc>
          <w:tcPr>
            <w:tcW w:w="882" w:type="pct"/>
          </w:tcPr>
          <w:p w14:paraId="6937187C">
            <w:pPr>
              <w:spacing w:before="123" w:line="219" w:lineRule="auto"/>
              <w:ind w:firstLine="0" w:firstLineChars="0"/>
              <w:jc w:val="center"/>
              <w:rPr>
                <w:rFonts w:hint="eastAsia"/>
                <w:szCs w:val="24"/>
              </w:rPr>
            </w:pPr>
            <w:r>
              <w:rPr>
                <w:szCs w:val="24"/>
              </w:rPr>
              <w:t>1套</w:t>
            </w:r>
          </w:p>
        </w:tc>
        <w:tc>
          <w:tcPr>
            <w:tcW w:w="882" w:type="pct"/>
          </w:tcPr>
          <w:p w14:paraId="5D4D3F74">
            <w:pPr>
              <w:spacing w:before="123" w:line="219" w:lineRule="auto"/>
              <w:ind w:firstLine="0" w:firstLineChars="0"/>
              <w:jc w:val="center"/>
              <w:rPr>
                <w:rFonts w:hint="eastAsia"/>
                <w:szCs w:val="24"/>
              </w:rPr>
            </w:pPr>
            <w:r>
              <w:rPr>
                <w:rFonts w:hint="eastAsia"/>
                <w:szCs w:val="24"/>
              </w:rPr>
              <w:t>10万元</w:t>
            </w:r>
          </w:p>
        </w:tc>
      </w:tr>
      <w:tr w14:paraId="6B478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6" w:type="pct"/>
          </w:tcPr>
          <w:p w14:paraId="2282DDEB">
            <w:pPr>
              <w:spacing w:before="123" w:line="219" w:lineRule="auto"/>
              <w:ind w:firstLine="0" w:firstLineChars="0"/>
              <w:jc w:val="center"/>
              <w:rPr>
                <w:rFonts w:hint="eastAsia"/>
                <w:szCs w:val="24"/>
              </w:rPr>
            </w:pPr>
            <w:r>
              <w:rPr>
                <w:rFonts w:hint="eastAsia"/>
                <w:szCs w:val="24"/>
              </w:rPr>
              <w:t>6</w:t>
            </w:r>
          </w:p>
        </w:tc>
        <w:tc>
          <w:tcPr>
            <w:tcW w:w="2550" w:type="pct"/>
          </w:tcPr>
          <w:p w14:paraId="1FF05EE3">
            <w:pPr>
              <w:spacing w:before="123" w:line="219" w:lineRule="auto"/>
              <w:ind w:firstLine="0" w:firstLineChars="0"/>
              <w:jc w:val="center"/>
              <w:rPr>
                <w:rFonts w:hint="eastAsia"/>
                <w:szCs w:val="24"/>
              </w:rPr>
            </w:pPr>
            <w:r>
              <w:rPr>
                <w:rFonts w:hint="eastAsia"/>
              </w:rPr>
              <w:t>机房数据及应用备份系统</w:t>
            </w:r>
          </w:p>
        </w:tc>
        <w:tc>
          <w:tcPr>
            <w:tcW w:w="882" w:type="pct"/>
          </w:tcPr>
          <w:p w14:paraId="6A7E6EAB">
            <w:pPr>
              <w:spacing w:before="123" w:line="219" w:lineRule="auto"/>
              <w:ind w:firstLine="0" w:firstLineChars="0"/>
              <w:jc w:val="center"/>
              <w:rPr>
                <w:rFonts w:hint="eastAsia"/>
                <w:szCs w:val="24"/>
              </w:rPr>
            </w:pPr>
            <w:r>
              <w:rPr>
                <w:szCs w:val="24"/>
              </w:rPr>
              <w:t>1套</w:t>
            </w:r>
          </w:p>
        </w:tc>
        <w:tc>
          <w:tcPr>
            <w:tcW w:w="882" w:type="pct"/>
          </w:tcPr>
          <w:p w14:paraId="2A005D43">
            <w:pPr>
              <w:spacing w:before="123" w:line="219" w:lineRule="auto"/>
              <w:ind w:firstLine="0" w:firstLineChars="0"/>
              <w:jc w:val="center"/>
              <w:rPr>
                <w:rFonts w:hint="eastAsia"/>
                <w:szCs w:val="24"/>
              </w:rPr>
            </w:pPr>
            <w:r>
              <w:rPr>
                <w:rFonts w:hint="eastAsia"/>
                <w:szCs w:val="24"/>
              </w:rPr>
              <w:t>23万元</w:t>
            </w:r>
          </w:p>
        </w:tc>
      </w:tr>
      <w:tr w14:paraId="62F19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6" w:type="pct"/>
          </w:tcPr>
          <w:p w14:paraId="44662446">
            <w:pPr>
              <w:spacing w:before="123" w:line="219" w:lineRule="auto"/>
              <w:ind w:firstLine="0" w:firstLineChars="0"/>
              <w:jc w:val="center"/>
              <w:rPr>
                <w:rFonts w:hint="eastAsia"/>
                <w:szCs w:val="24"/>
              </w:rPr>
            </w:pPr>
            <w:r>
              <w:rPr>
                <w:rFonts w:hint="eastAsia"/>
                <w:szCs w:val="24"/>
              </w:rPr>
              <w:t>7</w:t>
            </w:r>
          </w:p>
        </w:tc>
        <w:tc>
          <w:tcPr>
            <w:tcW w:w="2550" w:type="pct"/>
          </w:tcPr>
          <w:p w14:paraId="7B8F59AB">
            <w:pPr>
              <w:spacing w:before="123" w:line="219" w:lineRule="auto"/>
              <w:ind w:firstLine="0" w:firstLineChars="0"/>
              <w:jc w:val="center"/>
              <w:rPr>
                <w:rFonts w:hint="eastAsia"/>
                <w:szCs w:val="24"/>
              </w:rPr>
            </w:pPr>
            <w:r>
              <w:rPr>
                <w:rFonts w:hint="eastAsia"/>
              </w:rPr>
              <w:t>机房综合布线系统</w:t>
            </w:r>
          </w:p>
        </w:tc>
        <w:tc>
          <w:tcPr>
            <w:tcW w:w="882" w:type="pct"/>
          </w:tcPr>
          <w:p w14:paraId="0D88DB81">
            <w:pPr>
              <w:spacing w:before="123" w:line="219" w:lineRule="auto"/>
              <w:ind w:firstLine="0" w:firstLineChars="0"/>
              <w:jc w:val="center"/>
              <w:rPr>
                <w:rFonts w:hint="eastAsia"/>
                <w:szCs w:val="24"/>
              </w:rPr>
            </w:pPr>
            <w:r>
              <w:rPr>
                <w:szCs w:val="24"/>
              </w:rPr>
              <w:t>1套</w:t>
            </w:r>
          </w:p>
        </w:tc>
        <w:tc>
          <w:tcPr>
            <w:tcW w:w="882" w:type="pct"/>
          </w:tcPr>
          <w:p w14:paraId="6B3F5A56">
            <w:pPr>
              <w:spacing w:before="123" w:line="219" w:lineRule="auto"/>
              <w:ind w:firstLine="0" w:firstLineChars="0"/>
              <w:jc w:val="center"/>
              <w:rPr>
                <w:rFonts w:hint="eastAsia"/>
                <w:szCs w:val="24"/>
              </w:rPr>
            </w:pPr>
            <w:r>
              <w:rPr>
                <w:rFonts w:hint="eastAsia"/>
                <w:szCs w:val="24"/>
              </w:rPr>
              <w:t>5万元</w:t>
            </w:r>
          </w:p>
        </w:tc>
      </w:tr>
    </w:tbl>
    <w:p w14:paraId="67F0F609">
      <w:pPr>
        <w:rPr>
          <w:rFonts w:hint="eastAsia"/>
          <w:szCs w:val="24"/>
        </w:rPr>
        <w:sectPr>
          <w:headerReference r:id="rId7" w:type="default"/>
          <w:footerReference r:id="rId8" w:type="default"/>
          <w:pgSz w:w="11906" w:h="16838"/>
          <w:pgMar w:top="1440" w:right="1797" w:bottom="1440" w:left="1797" w:header="851" w:footer="992" w:gutter="0"/>
          <w:pgBorders>
            <w:top w:val="single" w:color="auto" w:sz="4" w:space="1"/>
            <w:bottom w:val="single" w:color="auto" w:sz="4" w:space="1"/>
          </w:pgBorders>
          <w:cols w:space="425" w:num="1"/>
          <w:docGrid w:type="lines" w:linePitch="312" w:charSpace="0"/>
        </w:sectPr>
      </w:pPr>
    </w:p>
    <w:p w14:paraId="57E6A5AD">
      <w:pPr>
        <w:pStyle w:val="3"/>
        <w:numPr>
          <w:ilvl w:val="0"/>
          <w:numId w:val="0"/>
        </w:numPr>
        <w:ind w:left="432"/>
        <w:rPr>
          <w:rFonts w:hint="eastAsia"/>
        </w:rPr>
      </w:pPr>
      <w:bookmarkStart w:id="213" w:name="_Toc176101092"/>
      <w:r>
        <w:rPr>
          <w:rFonts w:hint="eastAsia"/>
        </w:rPr>
        <w:t>附表2：项目详细配置清单</w:t>
      </w:r>
      <w:bookmarkEnd w:id="213"/>
    </w:p>
    <w:tbl>
      <w:tblPr>
        <w:tblStyle w:val="21"/>
        <w:tblW w:w="4996" w:type="pct"/>
        <w:tblInd w:w="0" w:type="dxa"/>
        <w:tblLayout w:type="fixed"/>
        <w:tblCellMar>
          <w:top w:w="0" w:type="dxa"/>
          <w:left w:w="108" w:type="dxa"/>
          <w:bottom w:w="0" w:type="dxa"/>
          <w:right w:w="108" w:type="dxa"/>
        </w:tblCellMar>
      </w:tblPr>
      <w:tblGrid>
        <w:gridCol w:w="651"/>
        <w:gridCol w:w="1583"/>
        <w:gridCol w:w="9096"/>
        <w:gridCol w:w="748"/>
        <w:gridCol w:w="694"/>
        <w:gridCol w:w="1391"/>
      </w:tblGrid>
      <w:tr w14:paraId="4AF14901">
        <w:tblPrEx>
          <w:tblCellMar>
            <w:top w:w="0" w:type="dxa"/>
            <w:left w:w="108" w:type="dxa"/>
            <w:bottom w:w="0" w:type="dxa"/>
            <w:right w:w="108" w:type="dxa"/>
          </w:tblCellMar>
        </w:tblPrEx>
        <w:trPr>
          <w:trHeight w:val="420" w:hRule="atLeast"/>
          <w:tblHeader/>
        </w:trPr>
        <w:tc>
          <w:tcPr>
            <w:tcW w:w="230" w:type="pct"/>
            <w:tcBorders>
              <w:top w:val="single" w:color="000000" w:sz="4" w:space="0"/>
              <w:left w:val="single" w:color="000000" w:sz="4" w:space="0"/>
              <w:bottom w:val="single" w:color="000000" w:sz="4" w:space="0"/>
              <w:right w:val="single" w:color="000000" w:sz="4" w:space="0"/>
            </w:tcBorders>
            <w:noWrap/>
            <w:vAlign w:val="center"/>
          </w:tcPr>
          <w:p w14:paraId="7EABF794">
            <w:pPr>
              <w:widowControl/>
              <w:adjustRightInd/>
              <w:snapToGrid/>
              <w:spacing w:line="240" w:lineRule="auto"/>
              <w:ind w:firstLine="0" w:firstLineChars="0"/>
              <w:jc w:val="center"/>
              <w:textAlignment w:val="center"/>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序号</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41FB34AC">
            <w:pPr>
              <w:widowControl/>
              <w:adjustRightInd/>
              <w:snapToGrid/>
              <w:spacing w:line="240" w:lineRule="auto"/>
              <w:ind w:firstLine="0" w:firstLineChars="0"/>
              <w:jc w:val="center"/>
              <w:textAlignment w:val="center"/>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设备名称</w:t>
            </w:r>
          </w:p>
        </w:tc>
        <w:tc>
          <w:tcPr>
            <w:tcW w:w="3211" w:type="pct"/>
            <w:tcBorders>
              <w:top w:val="single" w:color="000000" w:sz="4" w:space="0"/>
              <w:left w:val="single" w:color="000000" w:sz="4" w:space="0"/>
              <w:bottom w:val="single" w:color="000000" w:sz="4" w:space="0"/>
              <w:right w:val="single" w:color="000000" w:sz="4" w:space="0"/>
            </w:tcBorders>
            <w:vAlign w:val="center"/>
          </w:tcPr>
          <w:p w14:paraId="75131AF8">
            <w:pPr>
              <w:widowControl/>
              <w:adjustRightInd/>
              <w:snapToGrid/>
              <w:spacing w:line="240" w:lineRule="auto"/>
              <w:ind w:firstLine="0" w:firstLineChars="0"/>
              <w:jc w:val="center"/>
              <w:textAlignment w:val="center"/>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技术要求及设备参数</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7C0A5C20">
            <w:pPr>
              <w:widowControl/>
              <w:adjustRightInd/>
              <w:snapToGrid/>
              <w:spacing w:line="240" w:lineRule="auto"/>
              <w:ind w:firstLine="0" w:firstLineChars="0"/>
              <w:jc w:val="center"/>
              <w:textAlignment w:val="center"/>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单位</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F9D2D00">
            <w:pPr>
              <w:widowControl/>
              <w:adjustRightInd/>
              <w:snapToGrid/>
              <w:spacing w:line="240" w:lineRule="auto"/>
              <w:ind w:firstLine="0" w:firstLineChars="0"/>
              <w:jc w:val="center"/>
              <w:textAlignment w:val="center"/>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数量</w:t>
            </w:r>
          </w:p>
        </w:tc>
        <w:tc>
          <w:tcPr>
            <w:tcW w:w="487" w:type="pct"/>
            <w:tcBorders>
              <w:top w:val="single" w:color="000000" w:sz="4" w:space="0"/>
              <w:left w:val="single" w:color="000000" w:sz="4" w:space="0"/>
              <w:bottom w:val="single" w:color="000000" w:sz="4" w:space="0"/>
              <w:right w:val="single" w:color="000000" w:sz="4" w:space="0"/>
            </w:tcBorders>
            <w:vAlign w:val="center"/>
          </w:tcPr>
          <w:p w14:paraId="7A219730">
            <w:pPr>
              <w:widowControl/>
              <w:adjustRightInd/>
              <w:snapToGrid/>
              <w:spacing w:line="240" w:lineRule="auto"/>
              <w:ind w:firstLine="0" w:firstLineChars="0"/>
              <w:jc w:val="center"/>
              <w:textAlignment w:val="center"/>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备注</w:t>
            </w:r>
          </w:p>
        </w:tc>
      </w:tr>
      <w:tr w14:paraId="7E21AF1B">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337AA08">
            <w:pPr>
              <w:adjustRightInd/>
              <w:snapToGrid/>
              <w:spacing w:line="240" w:lineRule="auto"/>
              <w:ind w:firstLine="0" w:firstLineChars="0"/>
              <w:jc w:val="left"/>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一、机房装修工程</w:t>
            </w:r>
          </w:p>
        </w:tc>
      </w:tr>
      <w:tr w14:paraId="342C97A5">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B8F107B">
            <w:pPr>
              <w:adjustRightInd/>
              <w:snapToGrid/>
              <w:spacing w:line="240" w:lineRule="auto"/>
              <w:ind w:firstLine="0" w:firstLineChars="0"/>
              <w:jc w:val="left"/>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（一）地面工程</w:t>
            </w:r>
          </w:p>
        </w:tc>
      </w:tr>
      <w:tr w14:paraId="3E497170">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01F91D0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559" w:type="pct"/>
            <w:tcBorders>
              <w:top w:val="single" w:color="000000" w:sz="4" w:space="0"/>
              <w:left w:val="single" w:color="000000" w:sz="4" w:space="0"/>
              <w:bottom w:val="single" w:color="000000" w:sz="4" w:space="0"/>
              <w:right w:val="single" w:color="000000" w:sz="4" w:space="0"/>
            </w:tcBorders>
            <w:vAlign w:val="center"/>
          </w:tcPr>
          <w:p w14:paraId="5E6B335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地板漆</w:t>
            </w:r>
          </w:p>
        </w:tc>
        <w:tc>
          <w:tcPr>
            <w:tcW w:w="3211" w:type="pct"/>
            <w:tcBorders>
              <w:top w:val="single" w:color="000000" w:sz="4" w:space="0"/>
              <w:left w:val="single" w:color="000000" w:sz="4" w:space="0"/>
              <w:bottom w:val="single" w:color="000000" w:sz="4" w:space="0"/>
              <w:right w:val="single" w:color="000000" w:sz="4" w:space="0"/>
            </w:tcBorders>
            <w:vAlign w:val="center"/>
          </w:tcPr>
          <w:p w14:paraId="1C6B7F7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1.颜色：绿色</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2.技术要求：刷两遍地板漆</w:t>
            </w:r>
          </w:p>
        </w:tc>
        <w:tc>
          <w:tcPr>
            <w:tcW w:w="264" w:type="pct"/>
            <w:tcBorders>
              <w:top w:val="single" w:color="000000" w:sz="4" w:space="0"/>
              <w:left w:val="single" w:color="000000" w:sz="4" w:space="0"/>
              <w:bottom w:val="single" w:color="000000" w:sz="4" w:space="0"/>
              <w:right w:val="single" w:color="000000" w:sz="4" w:space="0"/>
            </w:tcBorders>
            <w:vAlign w:val="center"/>
          </w:tcPr>
          <w:p w14:paraId="6427864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KG</w:t>
            </w:r>
          </w:p>
        </w:tc>
        <w:tc>
          <w:tcPr>
            <w:tcW w:w="245" w:type="pct"/>
            <w:tcBorders>
              <w:top w:val="single" w:color="000000" w:sz="4" w:space="0"/>
              <w:left w:val="single" w:color="000000" w:sz="4" w:space="0"/>
              <w:bottom w:val="single" w:color="000000" w:sz="4" w:space="0"/>
              <w:right w:val="single" w:color="000000" w:sz="4" w:space="0"/>
            </w:tcBorders>
            <w:vAlign w:val="center"/>
          </w:tcPr>
          <w:p w14:paraId="7DC50AA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20</w:t>
            </w:r>
          </w:p>
        </w:tc>
        <w:tc>
          <w:tcPr>
            <w:tcW w:w="487" w:type="pct"/>
            <w:tcBorders>
              <w:top w:val="single" w:color="000000" w:sz="4" w:space="0"/>
              <w:left w:val="single" w:color="000000" w:sz="4" w:space="0"/>
              <w:bottom w:val="single" w:color="000000" w:sz="4" w:space="0"/>
              <w:right w:val="single" w:color="000000" w:sz="4" w:space="0"/>
            </w:tcBorders>
            <w:vAlign w:val="center"/>
          </w:tcPr>
          <w:p w14:paraId="3E4B3956">
            <w:pPr>
              <w:adjustRightInd/>
              <w:snapToGrid/>
              <w:spacing w:line="240" w:lineRule="auto"/>
              <w:ind w:firstLine="0" w:firstLineChars="0"/>
              <w:rPr>
                <w:rFonts w:hint="eastAsia" w:eastAsia="宋体" w:cs="宋体"/>
                <w:color w:val="000000"/>
                <w:spacing w:val="0"/>
                <w:sz w:val="20"/>
                <w:szCs w:val="20"/>
              </w:rPr>
            </w:pPr>
          </w:p>
        </w:tc>
      </w:tr>
      <w:tr w14:paraId="01F6225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3C5BDEC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2 </w:t>
            </w:r>
          </w:p>
        </w:tc>
        <w:tc>
          <w:tcPr>
            <w:tcW w:w="559" w:type="pct"/>
            <w:tcBorders>
              <w:top w:val="single" w:color="000000" w:sz="4" w:space="0"/>
              <w:left w:val="single" w:color="000000" w:sz="4" w:space="0"/>
              <w:bottom w:val="single" w:color="000000" w:sz="4" w:space="0"/>
              <w:right w:val="single" w:color="000000" w:sz="4" w:space="0"/>
            </w:tcBorders>
            <w:vAlign w:val="center"/>
          </w:tcPr>
          <w:p w14:paraId="4E736C8E">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地面保温</w:t>
            </w:r>
          </w:p>
        </w:tc>
        <w:tc>
          <w:tcPr>
            <w:tcW w:w="3211" w:type="pct"/>
            <w:tcBorders>
              <w:top w:val="single" w:color="000000" w:sz="4" w:space="0"/>
              <w:left w:val="single" w:color="000000" w:sz="4" w:space="0"/>
              <w:bottom w:val="single" w:color="000000" w:sz="4" w:space="0"/>
              <w:right w:val="single" w:color="000000" w:sz="4" w:space="0"/>
            </w:tcBorders>
            <w:vAlign w:val="center"/>
          </w:tcPr>
          <w:p w14:paraId="16DB514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1.规格：20mm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2.等级：橡塑保温棉板B1级</w:t>
            </w:r>
          </w:p>
        </w:tc>
        <w:tc>
          <w:tcPr>
            <w:tcW w:w="264" w:type="pct"/>
            <w:tcBorders>
              <w:top w:val="single" w:color="000000" w:sz="4" w:space="0"/>
              <w:left w:val="single" w:color="000000" w:sz="4" w:space="0"/>
              <w:bottom w:val="single" w:color="000000" w:sz="4" w:space="0"/>
              <w:right w:val="single" w:color="000000" w:sz="4" w:space="0"/>
            </w:tcBorders>
            <w:vAlign w:val="center"/>
          </w:tcPr>
          <w:p w14:paraId="37603F3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w:t>
            </w:r>
          </w:p>
        </w:tc>
        <w:tc>
          <w:tcPr>
            <w:tcW w:w="245" w:type="pct"/>
            <w:tcBorders>
              <w:top w:val="single" w:color="000000" w:sz="4" w:space="0"/>
              <w:left w:val="single" w:color="000000" w:sz="4" w:space="0"/>
              <w:bottom w:val="single" w:color="000000" w:sz="4" w:space="0"/>
              <w:right w:val="single" w:color="000000" w:sz="4" w:space="0"/>
            </w:tcBorders>
            <w:vAlign w:val="center"/>
          </w:tcPr>
          <w:p w14:paraId="3E59D89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18</w:t>
            </w:r>
          </w:p>
        </w:tc>
        <w:tc>
          <w:tcPr>
            <w:tcW w:w="487" w:type="pct"/>
            <w:tcBorders>
              <w:top w:val="single" w:color="000000" w:sz="4" w:space="0"/>
              <w:left w:val="single" w:color="000000" w:sz="4" w:space="0"/>
              <w:bottom w:val="single" w:color="000000" w:sz="4" w:space="0"/>
              <w:right w:val="single" w:color="000000" w:sz="4" w:space="0"/>
            </w:tcBorders>
            <w:vAlign w:val="center"/>
          </w:tcPr>
          <w:p w14:paraId="47004812">
            <w:pPr>
              <w:adjustRightInd/>
              <w:snapToGrid/>
              <w:spacing w:line="240" w:lineRule="auto"/>
              <w:ind w:firstLine="0" w:firstLineChars="0"/>
              <w:rPr>
                <w:rFonts w:hint="eastAsia" w:eastAsia="宋体" w:cs="宋体"/>
                <w:color w:val="000000"/>
                <w:spacing w:val="0"/>
                <w:sz w:val="20"/>
                <w:szCs w:val="20"/>
              </w:rPr>
            </w:pPr>
          </w:p>
        </w:tc>
      </w:tr>
      <w:tr w14:paraId="152645C3">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65C7063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3 </w:t>
            </w:r>
          </w:p>
        </w:tc>
        <w:tc>
          <w:tcPr>
            <w:tcW w:w="559" w:type="pct"/>
            <w:tcBorders>
              <w:top w:val="single" w:color="000000" w:sz="4" w:space="0"/>
              <w:left w:val="single" w:color="000000" w:sz="4" w:space="0"/>
              <w:bottom w:val="single" w:color="000000" w:sz="4" w:space="0"/>
              <w:right w:val="single" w:color="000000" w:sz="4" w:space="0"/>
            </w:tcBorders>
            <w:vAlign w:val="center"/>
          </w:tcPr>
          <w:p w14:paraId="4CA2484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镀锌铁皮</w:t>
            </w:r>
          </w:p>
        </w:tc>
        <w:tc>
          <w:tcPr>
            <w:tcW w:w="3211" w:type="pct"/>
            <w:tcBorders>
              <w:top w:val="single" w:color="000000" w:sz="4" w:space="0"/>
              <w:left w:val="single" w:color="000000" w:sz="4" w:space="0"/>
              <w:bottom w:val="single" w:color="000000" w:sz="4" w:space="0"/>
              <w:right w:val="single" w:color="000000" w:sz="4" w:space="0"/>
            </w:tcBorders>
            <w:vAlign w:val="center"/>
          </w:tcPr>
          <w:p w14:paraId="400A9A7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1.规格：0.3mm镀锌铁皮</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2.尺寸：2000*1000*0.3mm</w:t>
            </w:r>
          </w:p>
        </w:tc>
        <w:tc>
          <w:tcPr>
            <w:tcW w:w="264" w:type="pct"/>
            <w:tcBorders>
              <w:top w:val="single" w:color="000000" w:sz="4" w:space="0"/>
              <w:left w:val="single" w:color="000000" w:sz="4" w:space="0"/>
              <w:bottom w:val="single" w:color="000000" w:sz="4" w:space="0"/>
              <w:right w:val="single" w:color="000000" w:sz="4" w:space="0"/>
            </w:tcBorders>
            <w:vAlign w:val="center"/>
          </w:tcPr>
          <w:p w14:paraId="6F795A7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w:t>
            </w:r>
          </w:p>
        </w:tc>
        <w:tc>
          <w:tcPr>
            <w:tcW w:w="245" w:type="pct"/>
            <w:tcBorders>
              <w:top w:val="single" w:color="000000" w:sz="4" w:space="0"/>
              <w:left w:val="single" w:color="000000" w:sz="4" w:space="0"/>
              <w:bottom w:val="single" w:color="000000" w:sz="4" w:space="0"/>
              <w:right w:val="single" w:color="000000" w:sz="4" w:space="0"/>
            </w:tcBorders>
            <w:vAlign w:val="center"/>
          </w:tcPr>
          <w:p w14:paraId="69ADDB4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18</w:t>
            </w:r>
          </w:p>
        </w:tc>
        <w:tc>
          <w:tcPr>
            <w:tcW w:w="487" w:type="pct"/>
            <w:tcBorders>
              <w:top w:val="single" w:color="000000" w:sz="4" w:space="0"/>
              <w:left w:val="single" w:color="000000" w:sz="4" w:space="0"/>
              <w:bottom w:val="single" w:color="000000" w:sz="4" w:space="0"/>
              <w:right w:val="single" w:color="000000" w:sz="4" w:space="0"/>
            </w:tcBorders>
            <w:vAlign w:val="center"/>
          </w:tcPr>
          <w:p w14:paraId="151EF5E0">
            <w:pPr>
              <w:adjustRightInd/>
              <w:snapToGrid/>
              <w:spacing w:line="240" w:lineRule="auto"/>
              <w:ind w:firstLine="0" w:firstLineChars="0"/>
              <w:rPr>
                <w:rFonts w:hint="eastAsia" w:eastAsia="宋体" w:cs="宋体"/>
                <w:color w:val="000000"/>
                <w:spacing w:val="0"/>
                <w:sz w:val="20"/>
                <w:szCs w:val="20"/>
              </w:rPr>
            </w:pPr>
          </w:p>
        </w:tc>
      </w:tr>
      <w:tr w14:paraId="200CE790">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0EBA64D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4 </w:t>
            </w:r>
          </w:p>
        </w:tc>
        <w:tc>
          <w:tcPr>
            <w:tcW w:w="559" w:type="pct"/>
            <w:tcBorders>
              <w:top w:val="single" w:color="000000" w:sz="4" w:space="0"/>
              <w:left w:val="single" w:color="000000" w:sz="4" w:space="0"/>
              <w:bottom w:val="single" w:color="000000" w:sz="4" w:space="0"/>
              <w:right w:val="single" w:color="000000" w:sz="4" w:space="0"/>
            </w:tcBorders>
            <w:vAlign w:val="center"/>
          </w:tcPr>
          <w:p w14:paraId="1BBD1C9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硫酸钙防静电地板</w:t>
            </w:r>
          </w:p>
        </w:tc>
        <w:tc>
          <w:tcPr>
            <w:tcW w:w="3211" w:type="pct"/>
            <w:tcBorders>
              <w:top w:val="single" w:color="000000" w:sz="4" w:space="0"/>
              <w:left w:val="single" w:color="000000" w:sz="4" w:space="0"/>
              <w:bottom w:val="single" w:color="000000" w:sz="4" w:space="0"/>
              <w:right w:val="single" w:color="000000" w:sz="4" w:space="0"/>
            </w:tcBorders>
            <w:vAlign w:val="center"/>
          </w:tcPr>
          <w:p w14:paraId="696A4A7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1.名称：全钢无边防静电地板</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2.配件：含支架</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3.规格：600*600*32mm</w:t>
            </w:r>
          </w:p>
        </w:tc>
        <w:tc>
          <w:tcPr>
            <w:tcW w:w="264" w:type="pct"/>
            <w:tcBorders>
              <w:top w:val="single" w:color="000000" w:sz="4" w:space="0"/>
              <w:left w:val="single" w:color="000000" w:sz="4" w:space="0"/>
              <w:bottom w:val="single" w:color="000000" w:sz="4" w:space="0"/>
              <w:right w:val="single" w:color="000000" w:sz="4" w:space="0"/>
            </w:tcBorders>
            <w:vAlign w:val="center"/>
          </w:tcPr>
          <w:p w14:paraId="3980DB5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w:t>
            </w:r>
          </w:p>
        </w:tc>
        <w:tc>
          <w:tcPr>
            <w:tcW w:w="245" w:type="pct"/>
            <w:tcBorders>
              <w:top w:val="single" w:color="000000" w:sz="4" w:space="0"/>
              <w:left w:val="single" w:color="000000" w:sz="4" w:space="0"/>
              <w:bottom w:val="single" w:color="000000" w:sz="4" w:space="0"/>
              <w:right w:val="single" w:color="000000" w:sz="4" w:space="0"/>
            </w:tcBorders>
            <w:vAlign w:val="center"/>
          </w:tcPr>
          <w:p w14:paraId="413717C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18</w:t>
            </w:r>
          </w:p>
        </w:tc>
        <w:tc>
          <w:tcPr>
            <w:tcW w:w="487" w:type="pct"/>
            <w:tcBorders>
              <w:top w:val="single" w:color="000000" w:sz="4" w:space="0"/>
              <w:left w:val="single" w:color="000000" w:sz="4" w:space="0"/>
              <w:bottom w:val="single" w:color="000000" w:sz="4" w:space="0"/>
              <w:right w:val="single" w:color="000000" w:sz="4" w:space="0"/>
            </w:tcBorders>
            <w:vAlign w:val="center"/>
          </w:tcPr>
          <w:p w14:paraId="5E61F2E5">
            <w:pPr>
              <w:adjustRightInd/>
              <w:snapToGrid/>
              <w:spacing w:line="240" w:lineRule="auto"/>
              <w:ind w:firstLine="0" w:firstLineChars="0"/>
              <w:rPr>
                <w:rFonts w:hint="eastAsia" w:eastAsia="宋体" w:cs="宋体"/>
                <w:color w:val="000000"/>
                <w:spacing w:val="0"/>
                <w:sz w:val="20"/>
                <w:szCs w:val="20"/>
              </w:rPr>
            </w:pPr>
          </w:p>
        </w:tc>
      </w:tr>
      <w:tr w14:paraId="36A33F6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32A8B3C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5 </w:t>
            </w:r>
          </w:p>
        </w:tc>
        <w:tc>
          <w:tcPr>
            <w:tcW w:w="559" w:type="pct"/>
            <w:tcBorders>
              <w:top w:val="single" w:color="000000" w:sz="4" w:space="0"/>
              <w:left w:val="single" w:color="000000" w:sz="4" w:space="0"/>
              <w:bottom w:val="single" w:color="000000" w:sz="4" w:space="0"/>
              <w:right w:val="single" w:color="000000" w:sz="4" w:space="0"/>
            </w:tcBorders>
            <w:vAlign w:val="center"/>
          </w:tcPr>
          <w:p w14:paraId="63CD689E">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地板吸盘</w:t>
            </w:r>
          </w:p>
        </w:tc>
        <w:tc>
          <w:tcPr>
            <w:tcW w:w="3211" w:type="pct"/>
            <w:tcBorders>
              <w:top w:val="single" w:color="000000" w:sz="4" w:space="0"/>
              <w:left w:val="single" w:color="000000" w:sz="4" w:space="0"/>
              <w:bottom w:val="single" w:color="000000" w:sz="4" w:space="0"/>
              <w:right w:val="single" w:color="000000" w:sz="4" w:space="0"/>
            </w:tcBorders>
            <w:vAlign w:val="center"/>
          </w:tcPr>
          <w:p w14:paraId="1F60EAD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1.吸盘形状：圆形产品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2.种类：单杯吸盘</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3.产品吸力：水平吸力50kg</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4.垂直吸力:35kg</w:t>
            </w:r>
          </w:p>
        </w:tc>
        <w:tc>
          <w:tcPr>
            <w:tcW w:w="264" w:type="pct"/>
            <w:tcBorders>
              <w:top w:val="single" w:color="000000" w:sz="4" w:space="0"/>
              <w:left w:val="single" w:color="000000" w:sz="4" w:space="0"/>
              <w:bottom w:val="single" w:color="000000" w:sz="4" w:space="0"/>
              <w:right w:val="single" w:color="000000" w:sz="4" w:space="0"/>
            </w:tcBorders>
            <w:vAlign w:val="center"/>
          </w:tcPr>
          <w:p w14:paraId="717A2FD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vAlign w:val="center"/>
          </w:tcPr>
          <w:p w14:paraId="1B56DB0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7BF34035">
            <w:pPr>
              <w:adjustRightInd/>
              <w:snapToGrid/>
              <w:spacing w:line="240" w:lineRule="auto"/>
              <w:ind w:firstLine="0" w:firstLineChars="0"/>
              <w:rPr>
                <w:rFonts w:hint="eastAsia" w:eastAsia="宋体" w:cs="宋体"/>
                <w:color w:val="000000"/>
                <w:spacing w:val="0"/>
                <w:sz w:val="20"/>
                <w:szCs w:val="20"/>
              </w:rPr>
            </w:pPr>
          </w:p>
        </w:tc>
      </w:tr>
      <w:tr w14:paraId="18FB44B5">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7C3C037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6 </w:t>
            </w:r>
          </w:p>
        </w:tc>
        <w:tc>
          <w:tcPr>
            <w:tcW w:w="559" w:type="pct"/>
            <w:tcBorders>
              <w:top w:val="single" w:color="000000" w:sz="4" w:space="0"/>
              <w:left w:val="single" w:color="000000" w:sz="4" w:space="0"/>
              <w:bottom w:val="single" w:color="000000" w:sz="4" w:space="0"/>
              <w:right w:val="single" w:color="000000" w:sz="4" w:space="0"/>
            </w:tcBorders>
            <w:vAlign w:val="center"/>
          </w:tcPr>
          <w:p w14:paraId="7441FC3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设备支架</w:t>
            </w:r>
          </w:p>
        </w:tc>
        <w:tc>
          <w:tcPr>
            <w:tcW w:w="3211" w:type="pct"/>
            <w:tcBorders>
              <w:top w:val="single" w:color="000000" w:sz="4" w:space="0"/>
              <w:left w:val="single" w:color="000000" w:sz="4" w:space="0"/>
              <w:bottom w:val="single" w:color="000000" w:sz="4" w:space="0"/>
              <w:right w:val="single" w:color="000000" w:sz="4" w:space="0"/>
            </w:tcBorders>
            <w:vAlign w:val="center"/>
          </w:tcPr>
          <w:p w14:paraId="15BF8D6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1.名称：50*5角钢</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2.规格：现场定制</w:t>
            </w:r>
          </w:p>
        </w:tc>
        <w:tc>
          <w:tcPr>
            <w:tcW w:w="264" w:type="pct"/>
            <w:tcBorders>
              <w:top w:val="single" w:color="000000" w:sz="4" w:space="0"/>
              <w:left w:val="single" w:color="000000" w:sz="4" w:space="0"/>
              <w:bottom w:val="single" w:color="000000" w:sz="4" w:space="0"/>
              <w:right w:val="single" w:color="000000" w:sz="4" w:space="0"/>
            </w:tcBorders>
            <w:vAlign w:val="center"/>
          </w:tcPr>
          <w:p w14:paraId="668FCBE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643A8BF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487" w:type="pct"/>
            <w:tcBorders>
              <w:top w:val="single" w:color="000000" w:sz="4" w:space="0"/>
              <w:left w:val="single" w:color="000000" w:sz="4" w:space="0"/>
              <w:bottom w:val="single" w:color="000000" w:sz="4" w:space="0"/>
              <w:right w:val="single" w:color="000000" w:sz="4" w:space="0"/>
            </w:tcBorders>
            <w:vAlign w:val="center"/>
          </w:tcPr>
          <w:p w14:paraId="06381C55">
            <w:pPr>
              <w:adjustRightInd/>
              <w:snapToGrid/>
              <w:spacing w:line="240" w:lineRule="auto"/>
              <w:ind w:firstLine="0" w:firstLineChars="0"/>
              <w:rPr>
                <w:rFonts w:hint="eastAsia" w:eastAsia="宋体" w:cs="宋体"/>
                <w:color w:val="000000"/>
                <w:spacing w:val="0"/>
                <w:sz w:val="20"/>
                <w:szCs w:val="20"/>
              </w:rPr>
            </w:pPr>
          </w:p>
        </w:tc>
      </w:tr>
      <w:tr w14:paraId="7219B6D0">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297AE8C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7 </w:t>
            </w:r>
          </w:p>
        </w:tc>
        <w:tc>
          <w:tcPr>
            <w:tcW w:w="559" w:type="pct"/>
            <w:tcBorders>
              <w:top w:val="single" w:color="000000" w:sz="4" w:space="0"/>
              <w:left w:val="single" w:color="000000" w:sz="4" w:space="0"/>
              <w:bottom w:val="single" w:color="000000" w:sz="4" w:space="0"/>
              <w:right w:val="single" w:color="000000" w:sz="4" w:space="0"/>
            </w:tcBorders>
            <w:vAlign w:val="center"/>
          </w:tcPr>
          <w:p w14:paraId="2CA2E7C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空调挡水坝</w:t>
            </w:r>
          </w:p>
        </w:tc>
        <w:tc>
          <w:tcPr>
            <w:tcW w:w="3211" w:type="pct"/>
            <w:tcBorders>
              <w:top w:val="single" w:color="000000" w:sz="4" w:space="0"/>
              <w:left w:val="single" w:color="000000" w:sz="4" w:space="0"/>
              <w:bottom w:val="single" w:color="000000" w:sz="4" w:space="0"/>
              <w:right w:val="single" w:color="000000" w:sz="4" w:space="0"/>
            </w:tcBorders>
            <w:vAlign w:val="center"/>
          </w:tcPr>
          <w:p w14:paraId="3BEFFD6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1.技术要求：防水3遍</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2.规格：现场定制</w:t>
            </w:r>
          </w:p>
        </w:tc>
        <w:tc>
          <w:tcPr>
            <w:tcW w:w="264" w:type="pct"/>
            <w:tcBorders>
              <w:top w:val="single" w:color="000000" w:sz="4" w:space="0"/>
              <w:left w:val="single" w:color="000000" w:sz="4" w:space="0"/>
              <w:bottom w:val="single" w:color="000000" w:sz="4" w:space="0"/>
              <w:right w:val="single" w:color="000000" w:sz="4" w:space="0"/>
            </w:tcBorders>
            <w:vAlign w:val="center"/>
          </w:tcPr>
          <w:p w14:paraId="4315F07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36B23C2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459B2527">
            <w:pPr>
              <w:adjustRightInd/>
              <w:snapToGrid/>
              <w:spacing w:line="240" w:lineRule="auto"/>
              <w:ind w:firstLine="0" w:firstLineChars="0"/>
              <w:rPr>
                <w:rFonts w:hint="eastAsia" w:eastAsia="宋体" w:cs="宋体"/>
                <w:color w:val="000000"/>
                <w:spacing w:val="0"/>
                <w:sz w:val="20"/>
                <w:szCs w:val="20"/>
              </w:rPr>
            </w:pPr>
          </w:p>
        </w:tc>
      </w:tr>
      <w:tr w14:paraId="40E1FDE7">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F2811CC">
            <w:pPr>
              <w:adjustRightInd/>
              <w:snapToGrid/>
              <w:spacing w:line="240" w:lineRule="auto"/>
              <w:ind w:firstLine="0" w:firstLineChars="0"/>
              <w:jc w:val="left"/>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（二）墙面工程</w:t>
            </w:r>
          </w:p>
        </w:tc>
      </w:tr>
      <w:tr w14:paraId="293AA66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4388383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559" w:type="pct"/>
            <w:tcBorders>
              <w:top w:val="single" w:color="000000" w:sz="4" w:space="0"/>
              <w:left w:val="single" w:color="000000" w:sz="4" w:space="0"/>
              <w:bottom w:val="single" w:color="000000" w:sz="4" w:space="0"/>
              <w:right w:val="single" w:color="000000" w:sz="4" w:space="0"/>
            </w:tcBorders>
            <w:vAlign w:val="center"/>
          </w:tcPr>
          <w:p w14:paraId="2873C286">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原始墙面铲除</w:t>
            </w:r>
          </w:p>
        </w:tc>
        <w:tc>
          <w:tcPr>
            <w:tcW w:w="3211" w:type="pct"/>
            <w:tcBorders>
              <w:top w:val="single" w:color="000000" w:sz="4" w:space="0"/>
              <w:left w:val="single" w:color="000000" w:sz="4" w:space="0"/>
              <w:bottom w:val="single" w:color="000000" w:sz="4" w:space="0"/>
              <w:right w:val="single" w:color="000000" w:sz="4" w:space="0"/>
            </w:tcBorders>
            <w:vAlign w:val="center"/>
          </w:tcPr>
          <w:p w14:paraId="41E3B15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1.墙面乳胶漆铲除</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2.腻子铲除</w:t>
            </w:r>
          </w:p>
        </w:tc>
        <w:tc>
          <w:tcPr>
            <w:tcW w:w="264" w:type="pct"/>
            <w:tcBorders>
              <w:top w:val="single" w:color="000000" w:sz="4" w:space="0"/>
              <w:left w:val="single" w:color="000000" w:sz="4" w:space="0"/>
              <w:bottom w:val="single" w:color="000000" w:sz="4" w:space="0"/>
              <w:right w:val="single" w:color="000000" w:sz="4" w:space="0"/>
            </w:tcBorders>
            <w:vAlign w:val="center"/>
          </w:tcPr>
          <w:p w14:paraId="4C475DD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vAlign w:val="center"/>
          </w:tcPr>
          <w:p w14:paraId="151B4B1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73BB20EB">
            <w:pPr>
              <w:adjustRightInd/>
              <w:snapToGrid/>
              <w:spacing w:line="240" w:lineRule="auto"/>
              <w:ind w:firstLine="0" w:firstLineChars="0"/>
              <w:jc w:val="left"/>
              <w:rPr>
                <w:rFonts w:hint="eastAsia" w:eastAsia="宋体" w:cs="宋体"/>
                <w:color w:val="000000"/>
                <w:spacing w:val="0"/>
                <w:sz w:val="20"/>
                <w:szCs w:val="20"/>
              </w:rPr>
            </w:pPr>
          </w:p>
        </w:tc>
      </w:tr>
      <w:tr w14:paraId="2732CF37">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1FA879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2 </w:t>
            </w:r>
          </w:p>
        </w:tc>
        <w:tc>
          <w:tcPr>
            <w:tcW w:w="559" w:type="pct"/>
            <w:tcBorders>
              <w:top w:val="single" w:color="000000" w:sz="4" w:space="0"/>
              <w:left w:val="single" w:color="000000" w:sz="4" w:space="0"/>
              <w:bottom w:val="single" w:color="000000" w:sz="4" w:space="0"/>
              <w:right w:val="single" w:color="000000" w:sz="4" w:space="0"/>
            </w:tcBorders>
            <w:vAlign w:val="center"/>
          </w:tcPr>
          <w:p w14:paraId="7AA4699D">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墙刮腻子</w:t>
            </w:r>
          </w:p>
        </w:tc>
        <w:tc>
          <w:tcPr>
            <w:tcW w:w="3211" w:type="pct"/>
            <w:tcBorders>
              <w:top w:val="single" w:color="000000" w:sz="4" w:space="0"/>
              <w:left w:val="single" w:color="000000" w:sz="4" w:space="0"/>
              <w:bottom w:val="single" w:color="000000" w:sz="4" w:space="0"/>
              <w:right w:val="single" w:color="000000" w:sz="4" w:space="0"/>
            </w:tcBorders>
            <w:vAlign w:val="center"/>
          </w:tcPr>
          <w:p w14:paraId="415E082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1.挂网</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2.刮腻子两遍</w:t>
            </w:r>
          </w:p>
        </w:tc>
        <w:tc>
          <w:tcPr>
            <w:tcW w:w="264" w:type="pct"/>
            <w:tcBorders>
              <w:top w:val="single" w:color="000000" w:sz="4" w:space="0"/>
              <w:left w:val="single" w:color="000000" w:sz="4" w:space="0"/>
              <w:bottom w:val="single" w:color="000000" w:sz="4" w:space="0"/>
              <w:right w:val="single" w:color="000000" w:sz="4" w:space="0"/>
            </w:tcBorders>
            <w:vAlign w:val="center"/>
          </w:tcPr>
          <w:p w14:paraId="73EE471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w:t>
            </w:r>
          </w:p>
        </w:tc>
        <w:tc>
          <w:tcPr>
            <w:tcW w:w="245" w:type="pct"/>
            <w:tcBorders>
              <w:top w:val="single" w:color="000000" w:sz="4" w:space="0"/>
              <w:left w:val="single" w:color="000000" w:sz="4" w:space="0"/>
              <w:bottom w:val="single" w:color="000000" w:sz="4" w:space="0"/>
              <w:right w:val="single" w:color="000000" w:sz="4" w:space="0"/>
            </w:tcBorders>
            <w:vAlign w:val="center"/>
          </w:tcPr>
          <w:p w14:paraId="475E05B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54</w:t>
            </w:r>
          </w:p>
        </w:tc>
        <w:tc>
          <w:tcPr>
            <w:tcW w:w="487" w:type="pct"/>
            <w:tcBorders>
              <w:top w:val="single" w:color="000000" w:sz="4" w:space="0"/>
              <w:left w:val="single" w:color="000000" w:sz="4" w:space="0"/>
              <w:bottom w:val="single" w:color="000000" w:sz="4" w:space="0"/>
              <w:right w:val="single" w:color="000000" w:sz="4" w:space="0"/>
            </w:tcBorders>
            <w:vAlign w:val="center"/>
          </w:tcPr>
          <w:p w14:paraId="622F5479">
            <w:pPr>
              <w:adjustRightInd/>
              <w:snapToGrid/>
              <w:spacing w:line="240" w:lineRule="auto"/>
              <w:ind w:firstLine="0" w:firstLineChars="0"/>
              <w:jc w:val="left"/>
              <w:rPr>
                <w:rFonts w:hint="eastAsia" w:eastAsia="宋体" w:cs="宋体"/>
                <w:color w:val="000000"/>
                <w:spacing w:val="0"/>
                <w:sz w:val="20"/>
                <w:szCs w:val="20"/>
              </w:rPr>
            </w:pPr>
          </w:p>
        </w:tc>
      </w:tr>
      <w:tr w14:paraId="551EC888">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234E8A5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3 </w:t>
            </w:r>
          </w:p>
        </w:tc>
        <w:tc>
          <w:tcPr>
            <w:tcW w:w="559" w:type="pct"/>
            <w:tcBorders>
              <w:top w:val="single" w:color="000000" w:sz="4" w:space="0"/>
              <w:left w:val="single" w:color="000000" w:sz="4" w:space="0"/>
              <w:bottom w:val="single" w:color="000000" w:sz="4" w:space="0"/>
              <w:right w:val="single" w:color="000000" w:sz="4" w:space="0"/>
            </w:tcBorders>
            <w:vAlign w:val="center"/>
          </w:tcPr>
          <w:p w14:paraId="56BEBD1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墙乳胶漆</w:t>
            </w:r>
          </w:p>
        </w:tc>
        <w:tc>
          <w:tcPr>
            <w:tcW w:w="3211" w:type="pct"/>
            <w:tcBorders>
              <w:top w:val="single" w:color="000000" w:sz="4" w:space="0"/>
              <w:left w:val="single" w:color="000000" w:sz="4" w:space="0"/>
              <w:bottom w:val="single" w:color="000000" w:sz="4" w:space="0"/>
              <w:right w:val="single" w:color="000000" w:sz="4" w:space="0"/>
            </w:tcBorders>
            <w:vAlign w:val="center"/>
          </w:tcPr>
          <w:p w14:paraId="0581B24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1.刮乳胶漆两遍</w:t>
            </w:r>
          </w:p>
        </w:tc>
        <w:tc>
          <w:tcPr>
            <w:tcW w:w="264" w:type="pct"/>
            <w:tcBorders>
              <w:top w:val="single" w:color="000000" w:sz="4" w:space="0"/>
              <w:left w:val="single" w:color="000000" w:sz="4" w:space="0"/>
              <w:bottom w:val="single" w:color="000000" w:sz="4" w:space="0"/>
              <w:right w:val="single" w:color="000000" w:sz="4" w:space="0"/>
            </w:tcBorders>
            <w:vAlign w:val="center"/>
          </w:tcPr>
          <w:p w14:paraId="6EB7508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w:t>
            </w:r>
          </w:p>
        </w:tc>
        <w:tc>
          <w:tcPr>
            <w:tcW w:w="245" w:type="pct"/>
            <w:tcBorders>
              <w:top w:val="single" w:color="000000" w:sz="4" w:space="0"/>
              <w:left w:val="single" w:color="000000" w:sz="4" w:space="0"/>
              <w:bottom w:val="single" w:color="000000" w:sz="4" w:space="0"/>
              <w:right w:val="single" w:color="000000" w:sz="4" w:space="0"/>
            </w:tcBorders>
            <w:vAlign w:val="center"/>
          </w:tcPr>
          <w:p w14:paraId="185AEA3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54</w:t>
            </w:r>
          </w:p>
        </w:tc>
        <w:tc>
          <w:tcPr>
            <w:tcW w:w="487" w:type="pct"/>
            <w:tcBorders>
              <w:top w:val="single" w:color="000000" w:sz="4" w:space="0"/>
              <w:left w:val="single" w:color="000000" w:sz="4" w:space="0"/>
              <w:bottom w:val="single" w:color="000000" w:sz="4" w:space="0"/>
              <w:right w:val="single" w:color="000000" w:sz="4" w:space="0"/>
            </w:tcBorders>
            <w:vAlign w:val="center"/>
          </w:tcPr>
          <w:p w14:paraId="24A9FDE5">
            <w:pPr>
              <w:adjustRightInd/>
              <w:snapToGrid/>
              <w:spacing w:line="240" w:lineRule="auto"/>
              <w:ind w:firstLine="0" w:firstLineChars="0"/>
              <w:jc w:val="left"/>
              <w:rPr>
                <w:rFonts w:hint="eastAsia" w:eastAsia="宋体" w:cs="宋体"/>
                <w:color w:val="000000"/>
                <w:spacing w:val="0"/>
                <w:sz w:val="20"/>
                <w:szCs w:val="20"/>
              </w:rPr>
            </w:pPr>
          </w:p>
        </w:tc>
      </w:tr>
      <w:tr w14:paraId="2A1BD4BA">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50AE63B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4 </w:t>
            </w:r>
          </w:p>
        </w:tc>
        <w:tc>
          <w:tcPr>
            <w:tcW w:w="559" w:type="pct"/>
            <w:tcBorders>
              <w:top w:val="single" w:color="000000" w:sz="4" w:space="0"/>
              <w:left w:val="single" w:color="000000" w:sz="4" w:space="0"/>
              <w:bottom w:val="single" w:color="000000" w:sz="4" w:space="0"/>
              <w:right w:val="single" w:color="000000" w:sz="4" w:space="0"/>
            </w:tcBorders>
            <w:vAlign w:val="center"/>
          </w:tcPr>
          <w:p w14:paraId="607DA8A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金属踢脚线</w:t>
            </w:r>
          </w:p>
        </w:tc>
        <w:tc>
          <w:tcPr>
            <w:tcW w:w="3211" w:type="pct"/>
            <w:tcBorders>
              <w:top w:val="single" w:color="000000" w:sz="4" w:space="0"/>
              <w:left w:val="single" w:color="000000" w:sz="4" w:space="0"/>
              <w:bottom w:val="single" w:color="000000" w:sz="4" w:space="0"/>
              <w:right w:val="single" w:color="000000" w:sz="4" w:space="0"/>
            </w:tcBorders>
            <w:vAlign w:val="center"/>
          </w:tcPr>
          <w:p w14:paraId="6839DEAB">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1.规格：100mm高</w:t>
            </w:r>
          </w:p>
        </w:tc>
        <w:tc>
          <w:tcPr>
            <w:tcW w:w="264" w:type="pct"/>
            <w:tcBorders>
              <w:top w:val="single" w:color="000000" w:sz="4" w:space="0"/>
              <w:left w:val="single" w:color="000000" w:sz="4" w:space="0"/>
              <w:bottom w:val="single" w:color="000000" w:sz="4" w:space="0"/>
              <w:right w:val="single" w:color="000000" w:sz="4" w:space="0"/>
            </w:tcBorders>
            <w:vAlign w:val="center"/>
          </w:tcPr>
          <w:p w14:paraId="1EEA6C9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vAlign w:val="center"/>
          </w:tcPr>
          <w:p w14:paraId="50C57A0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18</w:t>
            </w:r>
          </w:p>
        </w:tc>
        <w:tc>
          <w:tcPr>
            <w:tcW w:w="487" w:type="pct"/>
            <w:tcBorders>
              <w:top w:val="single" w:color="000000" w:sz="4" w:space="0"/>
              <w:left w:val="single" w:color="000000" w:sz="4" w:space="0"/>
              <w:bottom w:val="single" w:color="000000" w:sz="4" w:space="0"/>
              <w:right w:val="single" w:color="000000" w:sz="4" w:space="0"/>
            </w:tcBorders>
            <w:vAlign w:val="center"/>
          </w:tcPr>
          <w:p w14:paraId="5A4F1AD5">
            <w:pPr>
              <w:adjustRightInd/>
              <w:snapToGrid/>
              <w:spacing w:line="240" w:lineRule="auto"/>
              <w:ind w:firstLine="0" w:firstLineChars="0"/>
              <w:jc w:val="left"/>
              <w:rPr>
                <w:rFonts w:hint="eastAsia" w:eastAsia="宋体" w:cs="宋体"/>
                <w:color w:val="000000"/>
                <w:spacing w:val="0"/>
                <w:sz w:val="20"/>
                <w:szCs w:val="20"/>
              </w:rPr>
            </w:pPr>
          </w:p>
        </w:tc>
      </w:tr>
      <w:tr w14:paraId="69A6DF97">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704B56B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5 </w:t>
            </w:r>
          </w:p>
        </w:tc>
        <w:tc>
          <w:tcPr>
            <w:tcW w:w="559" w:type="pct"/>
            <w:tcBorders>
              <w:top w:val="single" w:color="000000" w:sz="4" w:space="0"/>
              <w:left w:val="single" w:color="000000" w:sz="4" w:space="0"/>
              <w:bottom w:val="single" w:color="000000" w:sz="4" w:space="0"/>
              <w:right w:val="single" w:color="000000" w:sz="4" w:space="0"/>
            </w:tcBorders>
            <w:vAlign w:val="center"/>
          </w:tcPr>
          <w:p w14:paraId="2567503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甲级钢制防火门</w:t>
            </w:r>
          </w:p>
        </w:tc>
        <w:tc>
          <w:tcPr>
            <w:tcW w:w="3211" w:type="pct"/>
            <w:tcBorders>
              <w:top w:val="single" w:color="000000" w:sz="4" w:space="0"/>
              <w:left w:val="single" w:color="000000" w:sz="4" w:space="0"/>
              <w:bottom w:val="single" w:color="000000" w:sz="4" w:space="0"/>
              <w:right w:val="single" w:color="000000" w:sz="4" w:space="0"/>
            </w:tcBorders>
            <w:vAlign w:val="center"/>
          </w:tcPr>
          <w:p w14:paraId="08F598FB">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1.尺寸：1200*2200mm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2.材质：钢制</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2.配件：含锁具、含闭门器</w:t>
            </w:r>
          </w:p>
        </w:tc>
        <w:tc>
          <w:tcPr>
            <w:tcW w:w="264" w:type="pct"/>
            <w:tcBorders>
              <w:top w:val="single" w:color="000000" w:sz="4" w:space="0"/>
              <w:left w:val="single" w:color="000000" w:sz="4" w:space="0"/>
              <w:bottom w:val="single" w:color="000000" w:sz="4" w:space="0"/>
              <w:right w:val="single" w:color="000000" w:sz="4" w:space="0"/>
            </w:tcBorders>
            <w:vAlign w:val="center"/>
          </w:tcPr>
          <w:p w14:paraId="19FC30D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vAlign w:val="center"/>
          </w:tcPr>
          <w:p w14:paraId="6DD98F2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3F7F786A">
            <w:pPr>
              <w:adjustRightInd/>
              <w:snapToGrid/>
              <w:spacing w:line="240" w:lineRule="auto"/>
              <w:ind w:firstLine="0" w:firstLineChars="0"/>
              <w:jc w:val="left"/>
              <w:rPr>
                <w:rFonts w:hint="eastAsia" w:eastAsia="宋体" w:cs="宋体"/>
                <w:color w:val="000000"/>
                <w:spacing w:val="0"/>
                <w:sz w:val="20"/>
                <w:szCs w:val="20"/>
              </w:rPr>
            </w:pPr>
          </w:p>
        </w:tc>
      </w:tr>
      <w:tr w14:paraId="32047776">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5A30FC9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6 </w:t>
            </w:r>
          </w:p>
        </w:tc>
        <w:tc>
          <w:tcPr>
            <w:tcW w:w="559" w:type="pct"/>
            <w:tcBorders>
              <w:top w:val="single" w:color="000000" w:sz="4" w:space="0"/>
              <w:left w:val="single" w:color="000000" w:sz="4" w:space="0"/>
              <w:bottom w:val="single" w:color="000000" w:sz="4" w:space="0"/>
              <w:right w:val="single" w:color="000000" w:sz="4" w:space="0"/>
            </w:tcBorders>
            <w:vAlign w:val="center"/>
          </w:tcPr>
          <w:p w14:paraId="0B9664A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甲级钢制防火门</w:t>
            </w:r>
          </w:p>
        </w:tc>
        <w:tc>
          <w:tcPr>
            <w:tcW w:w="3211" w:type="pct"/>
            <w:tcBorders>
              <w:top w:val="single" w:color="000000" w:sz="4" w:space="0"/>
              <w:left w:val="single" w:color="000000" w:sz="4" w:space="0"/>
              <w:bottom w:val="single" w:color="000000" w:sz="4" w:space="0"/>
              <w:right w:val="single" w:color="000000" w:sz="4" w:space="0"/>
            </w:tcBorders>
            <w:vAlign w:val="center"/>
          </w:tcPr>
          <w:p w14:paraId="1DB172E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1.尺寸：900*2200mm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2.材质：钢制</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2.配件：含锁具、含闭门器</w:t>
            </w:r>
          </w:p>
        </w:tc>
        <w:tc>
          <w:tcPr>
            <w:tcW w:w="264" w:type="pct"/>
            <w:tcBorders>
              <w:top w:val="single" w:color="000000" w:sz="4" w:space="0"/>
              <w:left w:val="single" w:color="000000" w:sz="4" w:space="0"/>
              <w:bottom w:val="single" w:color="000000" w:sz="4" w:space="0"/>
              <w:right w:val="single" w:color="000000" w:sz="4" w:space="0"/>
            </w:tcBorders>
            <w:vAlign w:val="center"/>
          </w:tcPr>
          <w:p w14:paraId="02FB5A3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vAlign w:val="center"/>
          </w:tcPr>
          <w:p w14:paraId="4DDEAF8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6E7F4897">
            <w:pPr>
              <w:adjustRightInd/>
              <w:snapToGrid/>
              <w:spacing w:line="240" w:lineRule="auto"/>
              <w:ind w:firstLine="0" w:firstLineChars="0"/>
              <w:jc w:val="left"/>
              <w:rPr>
                <w:rFonts w:hint="eastAsia" w:eastAsia="宋体" w:cs="宋体"/>
                <w:color w:val="000000"/>
                <w:spacing w:val="0"/>
                <w:sz w:val="20"/>
                <w:szCs w:val="20"/>
              </w:rPr>
            </w:pPr>
          </w:p>
        </w:tc>
      </w:tr>
      <w:tr w14:paraId="44C8AAEA">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698A710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7 </w:t>
            </w:r>
          </w:p>
        </w:tc>
        <w:tc>
          <w:tcPr>
            <w:tcW w:w="559" w:type="pct"/>
            <w:tcBorders>
              <w:top w:val="single" w:color="000000" w:sz="4" w:space="0"/>
              <w:left w:val="single" w:color="000000" w:sz="4" w:space="0"/>
              <w:bottom w:val="single" w:color="000000" w:sz="4" w:space="0"/>
              <w:right w:val="single" w:color="000000" w:sz="4" w:space="0"/>
            </w:tcBorders>
            <w:vAlign w:val="center"/>
          </w:tcPr>
          <w:p w14:paraId="45088FE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墙面开槽及恢复</w:t>
            </w:r>
          </w:p>
        </w:tc>
        <w:tc>
          <w:tcPr>
            <w:tcW w:w="3211" w:type="pct"/>
            <w:tcBorders>
              <w:top w:val="single" w:color="000000" w:sz="4" w:space="0"/>
              <w:left w:val="single" w:color="000000" w:sz="4" w:space="0"/>
              <w:bottom w:val="single" w:color="000000" w:sz="4" w:space="0"/>
              <w:right w:val="single" w:color="000000" w:sz="4" w:space="0"/>
            </w:tcBorders>
            <w:vAlign w:val="center"/>
          </w:tcPr>
          <w:p w14:paraId="5256C4B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1.包含应急照明、开关、插座、消防设备开槽</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2.含水泥河沙</w:t>
            </w:r>
          </w:p>
        </w:tc>
        <w:tc>
          <w:tcPr>
            <w:tcW w:w="264" w:type="pct"/>
            <w:tcBorders>
              <w:top w:val="single" w:color="000000" w:sz="4" w:space="0"/>
              <w:left w:val="single" w:color="000000" w:sz="4" w:space="0"/>
              <w:bottom w:val="single" w:color="000000" w:sz="4" w:space="0"/>
              <w:right w:val="single" w:color="000000" w:sz="4" w:space="0"/>
            </w:tcBorders>
            <w:vAlign w:val="center"/>
          </w:tcPr>
          <w:p w14:paraId="77C39A6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vAlign w:val="center"/>
          </w:tcPr>
          <w:p w14:paraId="6527D33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1618697A">
            <w:pPr>
              <w:adjustRightInd/>
              <w:snapToGrid/>
              <w:spacing w:line="240" w:lineRule="auto"/>
              <w:ind w:firstLine="0" w:firstLineChars="0"/>
              <w:jc w:val="left"/>
              <w:rPr>
                <w:rFonts w:hint="eastAsia" w:eastAsia="宋体" w:cs="宋体"/>
                <w:color w:val="000000"/>
                <w:spacing w:val="0"/>
                <w:sz w:val="20"/>
                <w:szCs w:val="20"/>
              </w:rPr>
            </w:pPr>
          </w:p>
        </w:tc>
      </w:tr>
      <w:tr w14:paraId="7828A44D">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341C0A52">
            <w:pPr>
              <w:adjustRightInd/>
              <w:snapToGrid/>
              <w:spacing w:line="240" w:lineRule="auto"/>
              <w:ind w:firstLine="0" w:firstLineChars="0"/>
              <w:jc w:val="left"/>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二、防雷接地及配电系统</w:t>
            </w:r>
          </w:p>
        </w:tc>
      </w:tr>
      <w:tr w14:paraId="4066AAEA">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6B63005">
            <w:pPr>
              <w:adjustRightInd/>
              <w:snapToGrid/>
              <w:spacing w:line="240" w:lineRule="auto"/>
              <w:ind w:firstLine="0" w:firstLineChars="0"/>
              <w:jc w:val="left"/>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（一）防雷接地</w:t>
            </w:r>
          </w:p>
        </w:tc>
      </w:tr>
      <w:tr w14:paraId="4ABFBCD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7395807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559" w:type="pct"/>
            <w:tcBorders>
              <w:top w:val="single" w:color="000000" w:sz="4" w:space="0"/>
              <w:left w:val="single" w:color="000000" w:sz="4" w:space="0"/>
              <w:bottom w:val="single" w:color="000000" w:sz="4" w:space="0"/>
              <w:right w:val="single" w:color="000000" w:sz="4" w:space="0"/>
            </w:tcBorders>
            <w:vAlign w:val="center"/>
          </w:tcPr>
          <w:p w14:paraId="5411C72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铜排均压环</w:t>
            </w:r>
          </w:p>
        </w:tc>
        <w:tc>
          <w:tcPr>
            <w:tcW w:w="3211" w:type="pct"/>
            <w:tcBorders>
              <w:top w:val="single" w:color="000000" w:sz="4" w:space="0"/>
              <w:left w:val="single" w:color="000000" w:sz="4" w:space="0"/>
              <w:bottom w:val="single" w:color="000000" w:sz="4" w:space="0"/>
              <w:right w:val="single" w:color="000000" w:sz="4" w:space="0"/>
            </w:tcBorders>
            <w:vAlign w:val="center"/>
          </w:tcPr>
          <w:p w14:paraId="050E5D2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1.规格：30*3紫铜排</w:t>
            </w:r>
          </w:p>
        </w:tc>
        <w:tc>
          <w:tcPr>
            <w:tcW w:w="264" w:type="pct"/>
            <w:tcBorders>
              <w:top w:val="single" w:color="000000" w:sz="4" w:space="0"/>
              <w:left w:val="single" w:color="000000" w:sz="4" w:space="0"/>
              <w:bottom w:val="single" w:color="000000" w:sz="4" w:space="0"/>
              <w:right w:val="single" w:color="000000" w:sz="4" w:space="0"/>
            </w:tcBorders>
            <w:vAlign w:val="center"/>
          </w:tcPr>
          <w:p w14:paraId="7AF3D50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vAlign w:val="center"/>
          </w:tcPr>
          <w:p w14:paraId="7B258CF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25 </w:t>
            </w:r>
          </w:p>
        </w:tc>
        <w:tc>
          <w:tcPr>
            <w:tcW w:w="487" w:type="pct"/>
            <w:tcBorders>
              <w:top w:val="single" w:color="000000" w:sz="4" w:space="0"/>
              <w:left w:val="single" w:color="000000" w:sz="4" w:space="0"/>
              <w:bottom w:val="single" w:color="000000" w:sz="4" w:space="0"/>
              <w:right w:val="single" w:color="000000" w:sz="4" w:space="0"/>
            </w:tcBorders>
            <w:vAlign w:val="center"/>
          </w:tcPr>
          <w:p w14:paraId="52365D42">
            <w:pPr>
              <w:adjustRightInd/>
              <w:snapToGrid/>
              <w:spacing w:line="240" w:lineRule="auto"/>
              <w:ind w:firstLine="0" w:firstLineChars="0"/>
              <w:rPr>
                <w:rFonts w:hint="eastAsia" w:eastAsia="宋体" w:cs="宋体"/>
                <w:color w:val="000000"/>
                <w:spacing w:val="0"/>
                <w:sz w:val="20"/>
                <w:szCs w:val="20"/>
              </w:rPr>
            </w:pPr>
          </w:p>
        </w:tc>
      </w:tr>
      <w:tr w14:paraId="41D00EEE">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4B4CB9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2 </w:t>
            </w:r>
          </w:p>
        </w:tc>
        <w:tc>
          <w:tcPr>
            <w:tcW w:w="559" w:type="pct"/>
            <w:tcBorders>
              <w:top w:val="single" w:color="000000" w:sz="4" w:space="0"/>
              <w:left w:val="single" w:color="000000" w:sz="4" w:space="0"/>
              <w:bottom w:val="single" w:color="000000" w:sz="4" w:space="0"/>
              <w:right w:val="single" w:color="000000" w:sz="4" w:space="0"/>
            </w:tcBorders>
            <w:vAlign w:val="center"/>
          </w:tcPr>
          <w:p w14:paraId="2CE4DBB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绝缘柱</w:t>
            </w:r>
          </w:p>
        </w:tc>
        <w:tc>
          <w:tcPr>
            <w:tcW w:w="3211" w:type="pct"/>
            <w:tcBorders>
              <w:top w:val="single" w:color="000000" w:sz="4" w:space="0"/>
              <w:left w:val="single" w:color="000000" w:sz="4" w:space="0"/>
              <w:bottom w:val="single" w:color="000000" w:sz="4" w:space="0"/>
              <w:right w:val="single" w:color="000000" w:sz="4" w:space="0"/>
            </w:tcBorders>
            <w:vAlign w:val="center"/>
          </w:tcPr>
          <w:p w14:paraId="67C1C85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1.特性：氧化铝陶瓷</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2.功能：绝缘装置陶瓷</w:t>
            </w:r>
          </w:p>
        </w:tc>
        <w:tc>
          <w:tcPr>
            <w:tcW w:w="264" w:type="pct"/>
            <w:tcBorders>
              <w:top w:val="single" w:color="000000" w:sz="4" w:space="0"/>
              <w:left w:val="single" w:color="000000" w:sz="4" w:space="0"/>
              <w:bottom w:val="single" w:color="000000" w:sz="4" w:space="0"/>
              <w:right w:val="single" w:color="000000" w:sz="4" w:space="0"/>
            </w:tcBorders>
            <w:vAlign w:val="center"/>
          </w:tcPr>
          <w:p w14:paraId="4D143CF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vAlign w:val="center"/>
          </w:tcPr>
          <w:p w14:paraId="1EB6AD2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50 </w:t>
            </w:r>
          </w:p>
        </w:tc>
        <w:tc>
          <w:tcPr>
            <w:tcW w:w="487" w:type="pct"/>
            <w:tcBorders>
              <w:top w:val="single" w:color="000000" w:sz="4" w:space="0"/>
              <w:left w:val="single" w:color="000000" w:sz="4" w:space="0"/>
              <w:bottom w:val="single" w:color="000000" w:sz="4" w:space="0"/>
              <w:right w:val="single" w:color="000000" w:sz="4" w:space="0"/>
            </w:tcBorders>
            <w:vAlign w:val="center"/>
          </w:tcPr>
          <w:p w14:paraId="71E7AA92">
            <w:pPr>
              <w:adjustRightInd/>
              <w:snapToGrid/>
              <w:spacing w:line="240" w:lineRule="auto"/>
              <w:ind w:firstLine="0" w:firstLineChars="0"/>
              <w:rPr>
                <w:rFonts w:hint="eastAsia" w:eastAsia="宋体" w:cs="宋体"/>
                <w:color w:val="000000"/>
                <w:spacing w:val="0"/>
                <w:sz w:val="20"/>
                <w:szCs w:val="20"/>
              </w:rPr>
            </w:pPr>
          </w:p>
        </w:tc>
      </w:tr>
      <w:tr w14:paraId="03DD3E9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61EC20E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3 </w:t>
            </w:r>
          </w:p>
        </w:tc>
        <w:tc>
          <w:tcPr>
            <w:tcW w:w="559" w:type="pct"/>
            <w:tcBorders>
              <w:top w:val="single" w:color="000000" w:sz="4" w:space="0"/>
              <w:left w:val="single" w:color="000000" w:sz="4" w:space="0"/>
              <w:bottom w:val="single" w:color="000000" w:sz="4" w:space="0"/>
              <w:right w:val="single" w:color="000000" w:sz="4" w:space="0"/>
            </w:tcBorders>
            <w:vAlign w:val="center"/>
          </w:tcPr>
          <w:p w14:paraId="1EE7461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等电位联结端子箱</w:t>
            </w:r>
          </w:p>
        </w:tc>
        <w:tc>
          <w:tcPr>
            <w:tcW w:w="3211" w:type="pct"/>
            <w:tcBorders>
              <w:top w:val="single" w:color="000000" w:sz="4" w:space="0"/>
              <w:left w:val="single" w:color="000000" w:sz="4" w:space="0"/>
              <w:bottom w:val="single" w:color="000000" w:sz="4" w:space="0"/>
              <w:right w:val="single" w:color="000000" w:sz="4" w:space="0"/>
            </w:tcBorders>
            <w:noWrap/>
            <w:vAlign w:val="center"/>
          </w:tcPr>
          <w:p w14:paraId="60F06DD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1.名称：等电位连接端子箱</w:t>
            </w:r>
          </w:p>
        </w:tc>
        <w:tc>
          <w:tcPr>
            <w:tcW w:w="264" w:type="pct"/>
            <w:tcBorders>
              <w:top w:val="single" w:color="000000" w:sz="4" w:space="0"/>
              <w:left w:val="single" w:color="000000" w:sz="4" w:space="0"/>
              <w:bottom w:val="single" w:color="000000" w:sz="4" w:space="0"/>
              <w:right w:val="single" w:color="000000" w:sz="4" w:space="0"/>
            </w:tcBorders>
            <w:vAlign w:val="center"/>
          </w:tcPr>
          <w:p w14:paraId="46EF372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vAlign w:val="center"/>
          </w:tcPr>
          <w:p w14:paraId="39D1748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487" w:type="pct"/>
            <w:tcBorders>
              <w:top w:val="single" w:color="000000" w:sz="4" w:space="0"/>
              <w:left w:val="single" w:color="000000" w:sz="4" w:space="0"/>
              <w:bottom w:val="single" w:color="000000" w:sz="4" w:space="0"/>
              <w:right w:val="single" w:color="000000" w:sz="4" w:space="0"/>
            </w:tcBorders>
            <w:vAlign w:val="center"/>
          </w:tcPr>
          <w:p w14:paraId="1B107BE8">
            <w:pPr>
              <w:adjustRightInd/>
              <w:snapToGrid/>
              <w:spacing w:line="240" w:lineRule="auto"/>
              <w:ind w:firstLine="0" w:firstLineChars="0"/>
              <w:rPr>
                <w:rFonts w:hint="eastAsia" w:eastAsia="宋体" w:cs="宋体"/>
                <w:color w:val="000000"/>
                <w:spacing w:val="0"/>
                <w:sz w:val="20"/>
                <w:szCs w:val="20"/>
              </w:rPr>
            </w:pPr>
          </w:p>
        </w:tc>
      </w:tr>
      <w:tr w14:paraId="0F5C327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4C6876B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4 </w:t>
            </w:r>
          </w:p>
        </w:tc>
        <w:tc>
          <w:tcPr>
            <w:tcW w:w="559" w:type="pct"/>
            <w:tcBorders>
              <w:top w:val="single" w:color="000000" w:sz="4" w:space="0"/>
              <w:left w:val="single" w:color="000000" w:sz="4" w:space="0"/>
              <w:bottom w:val="single" w:color="000000" w:sz="4" w:space="0"/>
              <w:right w:val="single" w:color="000000" w:sz="4" w:space="0"/>
            </w:tcBorders>
            <w:vAlign w:val="center"/>
          </w:tcPr>
          <w:p w14:paraId="6AB7F8AE">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电源二级浪涌保护器</w:t>
            </w:r>
          </w:p>
        </w:tc>
        <w:tc>
          <w:tcPr>
            <w:tcW w:w="3211" w:type="pct"/>
            <w:tcBorders>
              <w:top w:val="single" w:color="000000" w:sz="4" w:space="0"/>
              <w:left w:val="single" w:color="000000" w:sz="4" w:space="0"/>
              <w:bottom w:val="single" w:color="000000" w:sz="4" w:space="0"/>
              <w:right w:val="single" w:color="000000" w:sz="4" w:space="0"/>
            </w:tcBorders>
            <w:vAlign w:val="center"/>
          </w:tcPr>
          <w:p w14:paraId="7F84535D">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1.额定电压Un 220V</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2.大持续运行电压Uc 385V</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3.标称放电电流In(8/20μs)\ 20kA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4.大放电电流Imax(8/20μs) 40kA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5.保护水平Up(8/20μs) &lt;1.8kV</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6.串接过流保护装置 32A/10kA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7.响应时间 25ns</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8.尺寸 2mods,DIN43880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9.失效指示 绿色:正常 红色:失效</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10.安装导线截面积 10-35mm2</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11.安装方式 35mm标准导轨(EN50022/DIN46277-3)</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12.工作环境温度 -40/85℃</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13.外壳材料 热塑材料，符合UL94 V-0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14.外壳保护等级 IP20</w:t>
            </w:r>
          </w:p>
        </w:tc>
        <w:tc>
          <w:tcPr>
            <w:tcW w:w="264" w:type="pct"/>
            <w:tcBorders>
              <w:top w:val="single" w:color="000000" w:sz="4" w:space="0"/>
              <w:left w:val="single" w:color="000000" w:sz="4" w:space="0"/>
              <w:bottom w:val="single" w:color="000000" w:sz="4" w:space="0"/>
              <w:right w:val="single" w:color="000000" w:sz="4" w:space="0"/>
            </w:tcBorders>
            <w:vAlign w:val="center"/>
          </w:tcPr>
          <w:p w14:paraId="00029E5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vAlign w:val="center"/>
          </w:tcPr>
          <w:p w14:paraId="77B0DE6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487" w:type="pct"/>
            <w:tcBorders>
              <w:top w:val="single" w:color="000000" w:sz="4" w:space="0"/>
              <w:left w:val="single" w:color="000000" w:sz="4" w:space="0"/>
              <w:bottom w:val="single" w:color="000000" w:sz="4" w:space="0"/>
              <w:right w:val="single" w:color="000000" w:sz="4" w:space="0"/>
            </w:tcBorders>
            <w:vAlign w:val="center"/>
          </w:tcPr>
          <w:p w14:paraId="2E6125EF">
            <w:pPr>
              <w:adjustRightInd/>
              <w:snapToGrid/>
              <w:spacing w:line="240" w:lineRule="auto"/>
              <w:ind w:firstLine="0" w:firstLineChars="0"/>
              <w:jc w:val="left"/>
              <w:rPr>
                <w:rFonts w:hint="eastAsia" w:eastAsia="宋体" w:cs="宋体"/>
                <w:color w:val="000000"/>
                <w:spacing w:val="0"/>
                <w:sz w:val="20"/>
                <w:szCs w:val="20"/>
              </w:rPr>
            </w:pPr>
          </w:p>
        </w:tc>
      </w:tr>
      <w:tr w14:paraId="661868A5">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E31DDC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5 </w:t>
            </w:r>
          </w:p>
        </w:tc>
        <w:tc>
          <w:tcPr>
            <w:tcW w:w="559" w:type="pct"/>
            <w:tcBorders>
              <w:top w:val="single" w:color="000000" w:sz="4" w:space="0"/>
              <w:left w:val="single" w:color="000000" w:sz="4" w:space="0"/>
              <w:bottom w:val="single" w:color="000000" w:sz="4" w:space="0"/>
              <w:right w:val="single" w:color="000000" w:sz="4" w:space="0"/>
            </w:tcBorders>
            <w:vAlign w:val="center"/>
          </w:tcPr>
          <w:p w14:paraId="4E41F55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电源三级浪涌保护器</w:t>
            </w:r>
          </w:p>
        </w:tc>
        <w:tc>
          <w:tcPr>
            <w:tcW w:w="3211" w:type="pct"/>
            <w:tcBorders>
              <w:top w:val="single" w:color="000000" w:sz="4" w:space="0"/>
              <w:left w:val="single" w:color="000000" w:sz="4" w:space="0"/>
              <w:bottom w:val="single" w:color="000000" w:sz="4" w:space="0"/>
              <w:right w:val="single" w:color="000000" w:sz="4" w:space="0"/>
            </w:tcBorders>
            <w:vAlign w:val="center"/>
          </w:tcPr>
          <w:p w14:paraId="1291A1B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1.SPD端口：一端口</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2.SPD类别：组合型</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3.电源：TT-TN-IT</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4.额定电压： Un 220V</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5.大持续运行电压：Uc 385V</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6.标称放电电流：In(8/20μs) 10kA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7.大放电电流：Imax(8/20μs) 20kA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8.保护水平：UP(8/20μs) &lt;1.5kV</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9.串接过流保护装置：16A/6kA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10.响应时间：≤25ns</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11.尺寸：2mods,DIN43880</w:t>
            </w:r>
          </w:p>
        </w:tc>
        <w:tc>
          <w:tcPr>
            <w:tcW w:w="264" w:type="pct"/>
            <w:tcBorders>
              <w:top w:val="single" w:color="000000" w:sz="4" w:space="0"/>
              <w:left w:val="single" w:color="000000" w:sz="4" w:space="0"/>
              <w:bottom w:val="single" w:color="000000" w:sz="4" w:space="0"/>
              <w:right w:val="single" w:color="000000" w:sz="4" w:space="0"/>
            </w:tcBorders>
            <w:vAlign w:val="center"/>
          </w:tcPr>
          <w:p w14:paraId="3E7969E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vAlign w:val="center"/>
          </w:tcPr>
          <w:p w14:paraId="5B10244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487" w:type="pct"/>
            <w:tcBorders>
              <w:top w:val="single" w:color="000000" w:sz="4" w:space="0"/>
              <w:left w:val="single" w:color="000000" w:sz="4" w:space="0"/>
              <w:bottom w:val="single" w:color="000000" w:sz="4" w:space="0"/>
              <w:right w:val="single" w:color="000000" w:sz="4" w:space="0"/>
            </w:tcBorders>
            <w:vAlign w:val="center"/>
          </w:tcPr>
          <w:p w14:paraId="1B1F39EE">
            <w:pPr>
              <w:adjustRightInd/>
              <w:snapToGrid/>
              <w:spacing w:line="240" w:lineRule="auto"/>
              <w:ind w:firstLine="0" w:firstLineChars="0"/>
              <w:rPr>
                <w:rFonts w:hint="eastAsia" w:eastAsia="宋体" w:cs="宋体"/>
                <w:color w:val="000000"/>
                <w:spacing w:val="0"/>
                <w:sz w:val="20"/>
                <w:szCs w:val="20"/>
              </w:rPr>
            </w:pPr>
          </w:p>
        </w:tc>
      </w:tr>
      <w:tr w14:paraId="46C20A8F">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41A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6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FFF3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接地主干线</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3F51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1.规格：BVR-50mm²（双色）</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577C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13DC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5 </w:t>
            </w:r>
          </w:p>
        </w:tc>
        <w:tc>
          <w:tcPr>
            <w:tcW w:w="487" w:type="pct"/>
            <w:tcBorders>
              <w:top w:val="single" w:color="000000" w:sz="4" w:space="0"/>
              <w:left w:val="single" w:color="000000" w:sz="4" w:space="0"/>
              <w:bottom w:val="single" w:color="000000" w:sz="4" w:space="0"/>
              <w:right w:val="single" w:color="000000" w:sz="4" w:space="0"/>
            </w:tcBorders>
            <w:vAlign w:val="center"/>
          </w:tcPr>
          <w:p w14:paraId="7C7063DB">
            <w:pPr>
              <w:adjustRightInd/>
              <w:snapToGrid/>
              <w:spacing w:line="240" w:lineRule="auto"/>
              <w:ind w:firstLine="0" w:firstLineChars="0"/>
              <w:rPr>
                <w:rFonts w:hint="eastAsia" w:eastAsia="宋体" w:cs="宋体"/>
                <w:color w:val="000000"/>
                <w:spacing w:val="0"/>
                <w:sz w:val="20"/>
                <w:szCs w:val="20"/>
              </w:rPr>
            </w:pPr>
          </w:p>
        </w:tc>
      </w:tr>
      <w:tr w14:paraId="01E2C097">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754E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7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39D4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地板支架接地线</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5B9F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1.规格：BVR-6mm²（双色）</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3BA9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4B69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50 </w:t>
            </w:r>
          </w:p>
        </w:tc>
        <w:tc>
          <w:tcPr>
            <w:tcW w:w="487" w:type="pct"/>
            <w:tcBorders>
              <w:top w:val="single" w:color="000000" w:sz="4" w:space="0"/>
              <w:left w:val="single" w:color="000000" w:sz="4" w:space="0"/>
              <w:bottom w:val="single" w:color="000000" w:sz="4" w:space="0"/>
              <w:right w:val="single" w:color="000000" w:sz="4" w:space="0"/>
            </w:tcBorders>
            <w:vAlign w:val="center"/>
          </w:tcPr>
          <w:p w14:paraId="7684E71A">
            <w:pPr>
              <w:adjustRightInd/>
              <w:snapToGrid/>
              <w:spacing w:line="240" w:lineRule="auto"/>
              <w:ind w:firstLine="0" w:firstLineChars="0"/>
              <w:rPr>
                <w:rFonts w:hint="eastAsia" w:eastAsia="宋体" w:cs="宋体"/>
                <w:color w:val="000000"/>
                <w:spacing w:val="0"/>
                <w:sz w:val="20"/>
                <w:szCs w:val="20"/>
              </w:rPr>
            </w:pPr>
          </w:p>
        </w:tc>
      </w:tr>
      <w:tr w14:paraId="3648071F">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FD3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8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FBED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防雷接地制作</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5D6B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1.规格：现场定制</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2.技术要求：接入大楼引下主体</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420B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637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487" w:type="pct"/>
            <w:tcBorders>
              <w:top w:val="single" w:color="000000" w:sz="4" w:space="0"/>
              <w:left w:val="single" w:color="000000" w:sz="4" w:space="0"/>
              <w:bottom w:val="single" w:color="000000" w:sz="4" w:space="0"/>
              <w:right w:val="single" w:color="000000" w:sz="4" w:space="0"/>
            </w:tcBorders>
            <w:vAlign w:val="center"/>
          </w:tcPr>
          <w:p w14:paraId="4A983F64">
            <w:pPr>
              <w:adjustRightInd/>
              <w:snapToGrid/>
              <w:spacing w:line="240" w:lineRule="auto"/>
              <w:ind w:firstLine="0" w:firstLineChars="0"/>
              <w:rPr>
                <w:rFonts w:hint="eastAsia" w:eastAsia="宋体" w:cs="宋体"/>
                <w:color w:val="000000"/>
                <w:spacing w:val="0"/>
                <w:sz w:val="20"/>
                <w:szCs w:val="20"/>
              </w:rPr>
            </w:pPr>
          </w:p>
        </w:tc>
      </w:tr>
      <w:tr w14:paraId="4FB10193">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864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9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3D286">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防雷接地测试</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7126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1.标准：地阻小于4欧姆</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2.出具防雷接地测试报告</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B09C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647E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487" w:type="pct"/>
            <w:tcBorders>
              <w:top w:val="single" w:color="000000" w:sz="4" w:space="0"/>
              <w:left w:val="single" w:color="000000" w:sz="4" w:space="0"/>
              <w:bottom w:val="single" w:color="000000" w:sz="4" w:space="0"/>
              <w:right w:val="single" w:color="000000" w:sz="4" w:space="0"/>
            </w:tcBorders>
            <w:vAlign w:val="center"/>
          </w:tcPr>
          <w:p w14:paraId="53581B8C">
            <w:pPr>
              <w:adjustRightInd/>
              <w:snapToGrid/>
              <w:spacing w:line="240" w:lineRule="auto"/>
              <w:ind w:firstLine="0" w:firstLineChars="0"/>
              <w:rPr>
                <w:rFonts w:hint="eastAsia" w:eastAsia="宋体" w:cs="宋体"/>
                <w:color w:val="000000"/>
                <w:spacing w:val="0"/>
                <w:sz w:val="20"/>
                <w:szCs w:val="20"/>
              </w:rPr>
            </w:pPr>
          </w:p>
        </w:tc>
      </w:tr>
      <w:tr w14:paraId="1211A077">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F62F026">
            <w:pPr>
              <w:adjustRightInd/>
              <w:snapToGrid/>
              <w:spacing w:line="240" w:lineRule="auto"/>
              <w:ind w:firstLine="0" w:firstLineChars="0"/>
              <w:jc w:val="left"/>
              <w:rPr>
                <w:rFonts w:hint="eastAsia" w:eastAsia="宋体" w:cs="宋体"/>
                <w:b/>
                <w:bCs/>
                <w:color w:val="000000"/>
                <w:spacing w:val="0"/>
                <w:sz w:val="20"/>
                <w:szCs w:val="20"/>
              </w:rPr>
            </w:pPr>
            <w:r>
              <w:rPr>
                <w:rFonts w:hint="eastAsia" w:eastAsia="宋体" w:cs="宋体"/>
                <w:b/>
                <w:bCs/>
                <w:color w:val="000000"/>
                <w:spacing w:val="0"/>
                <w:kern w:val="0"/>
                <w:sz w:val="20"/>
                <w:szCs w:val="20"/>
                <w:lang w:bidi="ar"/>
              </w:rPr>
              <w:t>（二）配电系统</w:t>
            </w:r>
          </w:p>
        </w:tc>
      </w:tr>
      <w:tr w14:paraId="7EA6D85F">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513CF27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559" w:type="pct"/>
            <w:tcBorders>
              <w:top w:val="single" w:color="000000" w:sz="4" w:space="0"/>
              <w:left w:val="single" w:color="000000" w:sz="4" w:space="0"/>
              <w:bottom w:val="single" w:color="000000" w:sz="4" w:space="0"/>
              <w:right w:val="single" w:color="000000" w:sz="4" w:space="0"/>
            </w:tcBorders>
            <w:vAlign w:val="center"/>
          </w:tcPr>
          <w:p w14:paraId="464A5C3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UPS系统</w:t>
            </w:r>
          </w:p>
        </w:tc>
        <w:tc>
          <w:tcPr>
            <w:tcW w:w="3211" w:type="pct"/>
            <w:tcBorders>
              <w:top w:val="single" w:color="000000" w:sz="4" w:space="0"/>
              <w:left w:val="single" w:color="000000" w:sz="4" w:space="0"/>
              <w:bottom w:val="single" w:color="000000" w:sz="4" w:space="0"/>
              <w:right w:val="single" w:color="000000" w:sz="4" w:space="0"/>
            </w:tcBorders>
            <w:vAlign w:val="center"/>
          </w:tcPr>
          <w:p w14:paraId="367A987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利旧</w:t>
            </w:r>
          </w:p>
        </w:tc>
        <w:tc>
          <w:tcPr>
            <w:tcW w:w="264" w:type="pct"/>
            <w:tcBorders>
              <w:top w:val="single" w:color="000000" w:sz="4" w:space="0"/>
              <w:left w:val="single" w:color="000000" w:sz="4" w:space="0"/>
              <w:bottom w:val="single" w:color="000000" w:sz="4" w:space="0"/>
              <w:right w:val="single" w:color="000000" w:sz="4" w:space="0"/>
            </w:tcBorders>
            <w:vAlign w:val="center"/>
          </w:tcPr>
          <w:p w14:paraId="37324C1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6E60AAC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272DFD15">
            <w:pPr>
              <w:adjustRightInd/>
              <w:snapToGrid/>
              <w:spacing w:line="240" w:lineRule="auto"/>
              <w:ind w:firstLine="0" w:firstLineChars="0"/>
              <w:rPr>
                <w:rFonts w:hint="eastAsia" w:eastAsia="宋体" w:cs="宋体"/>
                <w:color w:val="000000"/>
                <w:spacing w:val="0"/>
                <w:sz w:val="20"/>
                <w:szCs w:val="20"/>
              </w:rPr>
            </w:pPr>
          </w:p>
        </w:tc>
      </w:tr>
      <w:tr w14:paraId="2E3CA0E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A4C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4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0B86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LED一体化面板灯</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1BD5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1.名称：LED一体化面板灯</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1.规格：600*600</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E255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D0F2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4 </w:t>
            </w:r>
          </w:p>
        </w:tc>
        <w:tc>
          <w:tcPr>
            <w:tcW w:w="487" w:type="pct"/>
            <w:tcBorders>
              <w:top w:val="single" w:color="000000" w:sz="4" w:space="0"/>
              <w:left w:val="single" w:color="000000" w:sz="4" w:space="0"/>
              <w:bottom w:val="single" w:color="000000" w:sz="4" w:space="0"/>
              <w:right w:val="single" w:color="000000" w:sz="4" w:space="0"/>
            </w:tcBorders>
            <w:vAlign w:val="center"/>
          </w:tcPr>
          <w:p w14:paraId="7FE6BD4D">
            <w:pPr>
              <w:adjustRightInd/>
              <w:snapToGrid/>
              <w:spacing w:line="240" w:lineRule="auto"/>
              <w:ind w:firstLine="0" w:firstLineChars="0"/>
              <w:rPr>
                <w:rFonts w:hint="eastAsia" w:eastAsia="宋体" w:cs="宋体"/>
                <w:color w:val="000000"/>
                <w:spacing w:val="0"/>
                <w:sz w:val="20"/>
                <w:szCs w:val="20"/>
              </w:rPr>
            </w:pPr>
          </w:p>
        </w:tc>
      </w:tr>
      <w:tr w14:paraId="7328839E">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994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5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72AF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应急装置</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D77A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1.名称：应急装置</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548D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支</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AFF4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2 </w:t>
            </w:r>
          </w:p>
        </w:tc>
        <w:tc>
          <w:tcPr>
            <w:tcW w:w="487" w:type="pct"/>
            <w:tcBorders>
              <w:top w:val="single" w:color="000000" w:sz="4" w:space="0"/>
              <w:left w:val="single" w:color="000000" w:sz="4" w:space="0"/>
              <w:bottom w:val="single" w:color="000000" w:sz="4" w:space="0"/>
              <w:right w:val="single" w:color="000000" w:sz="4" w:space="0"/>
            </w:tcBorders>
            <w:vAlign w:val="center"/>
          </w:tcPr>
          <w:p w14:paraId="6385F6C1">
            <w:pPr>
              <w:adjustRightInd/>
              <w:snapToGrid/>
              <w:spacing w:line="240" w:lineRule="auto"/>
              <w:ind w:firstLine="0" w:firstLineChars="0"/>
              <w:rPr>
                <w:rFonts w:hint="eastAsia" w:eastAsia="宋体" w:cs="宋体"/>
                <w:color w:val="000000"/>
                <w:spacing w:val="0"/>
                <w:sz w:val="20"/>
                <w:szCs w:val="20"/>
              </w:rPr>
            </w:pPr>
          </w:p>
        </w:tc>
      </w:tr>
      <w:tr w14:paraId="4FBA613F">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481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6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2BC6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安全出口标志灯</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3633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1.名称：安全出口标志灯</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2.配件：带电池</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6E01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72D8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2 </w:t>
            </w:r>
          </w:p>
        </w:tc>
        <w:tc>
          <w:tcPr>
            <w:tcW w:w="487" w:type="pct"/>
            <w:tcBorders>
              <w:top w:val="single" w:color="000000" w:sz="4" w:space="0"/>
              <w:left w:val="single" w:color="000000" w:sz="4" w:space="0"/>
              <w:bottom w:val="single" w:color="000000" w:sz="4" w:space="0"/>
              <w:right w:val="single" w:color="000000" w:sz="4" w:space="0"/>
            </w:tcBorders>
            <w:vAlign w:val="center"/>
          </w:tcPr>
          <w:p w14:paraId="228B8BB8">
            <w:pPr>
              <w:adjustRightInd/>
              <w:snapToGrid/>
              <w:spacing w:line="240" w:lineRule="auto"/>
              <w:ind w:firstLine="0" w:firstLineChars="0"/>
              <w:rPr>
                <w:rFonts w:hint="eastAsia" w:eastAsia="宋体" w:cs="宋体"/>
                <w:color w:val="000000"/>
                <w:spacing w:val="0"/>
                <w:sz w:val="20"/>
                <w:szCs w:val="20"/>
              </w:rPr>
            </w:pPr>
          </w:p>
        </w:tc>
      </w:tr>
      <w:tr w14:paraId="7469395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7F2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7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AE51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单联单控开关</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6575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1.名称：单联单控开关</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1.规格：暗装86型</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FCF8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0909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 </w:t>
            </w:r>
          </w:p>
        </w:tc>
        <w:tc>
          <w:tcPr>
            <w:tcW w:w="487" w:type="pct"/>
            <w:tcBorders>
              <w:top w:val="single" w:color="000000" w:sz="4" w:space="0"/>
              <w:left w:val="single" w:color="000000" w:sz="4" w:space="0"/>
              <w:bottom w:val="single" w:color="000000" w:sz="4" w:space="0"/>
              <w:right w:val="single" w:color="000000" w:sz="4" w:space="0"/>
            </w:tcBorders>
            <w:vAlign w:val="center"/>
          </w:tcPr>
          <w:p w14:paraId="42B788C0">
            <w:pPr>
              <w:adjustRightInd/>
              <w:snapToGrid/>
              <w:spacing w:line="240" w:lineRule="auto"/>
              <w:ind w:firstLine="0" w:firstLineChars="0"/>
              <w:rPr>
                <w:rFonts w:hint="eastAsia" w:eastAsia="宋体" w:cs="宋体"/>
                <w:color w:val="000000"/>
                <w:spacing w:val="0"/>
                <w:sz w:val="20"/>
                <w:szCs w:val="20"/>
              </w:rPr>
            </w:pPr>
          </w:p>
        </w:tc>
      </w:tr>
      <w:tr w14:paraId="1C455C4D">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750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8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27D2E">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机柜PDU</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D67B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1.规格：10位16A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2.含工业连接器</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0D78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4F9B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4 </w:t>
            </w:r>
          </w:p>
        </w:tc>
        <w:tc>
          <w:tcPr>
            <w:tcW w:w="487" w:type="pct"/>
            <w:tcBorders>
              <w:top w:val="single" w:color="000000" w:sz="4" w:space="0"/>
              <w:left w:val="single" w:color="000000" w:sz="4" w:space="0"/>
              <w:bottom w:val="single" w:color="000000" w:sz="4" w:space="0"/>
              <w:right w:val="single" w:color="000000" w:sz="4" w:space="0"/>
            </w:tcBorders>
            <w:vAlign w:val="center"/>
          </w:tcPr>
          <w:p w14:paraId="5140E89A">
            <w:pPr>
              <w:adjustRightInd/>
              <w:snapToGrid/>
              <w:spacing w:line="240" w:lineRule="auto"/>
              <w:ind w:firstLine="0" w:firstLineChars="0"/>
              <w:rPr>
                <w:rFonts w:hint="eastAsia" w:eastAsia="宋体" w:cs="宋体"/>
                <w:color w:val="000000"/>
                <w:spacing w:val="0"/>
                <w:sz w:val="20"/>
                <w:szCs w:val="20"/>
              </w:rPr>
            </w:pPr>
          </w:p>
        </w:tc>
      </w:tr>
      <w:tr w14:paraId="76A36511">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D5D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9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7E3A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照明线</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06DE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1.规格：ZR-BV-2.5mm2</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2014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78F7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380 </w:t>
            </w:r>
          </w:p>
        </w:tc>
        <w:tc>
          <w:tcPr>
            <w:tcW w:w="487" w:type="pct"/>
            <w:tcBorders>
              <w:top w:val="single" w:color="000000" w:sz="4" w:space="0"/>
              <w:left w:val="single" w:color="000000" w:sz="4" w:space="0"/>
              <w:bottom w:val="single" w:color="000000" w:sz="4" w:space="0"/>
              <w:right w:val="single" w:color="000000" w:sz="4" w:space="0"/>
            </w:tcBorders>
            <w:vAlign w:val="center"/>
          </w:tcPr>
          <w:p w14:paraId="78A4A22A">
            <w:pPr>
              <w:adjustRightInd/>
              <w:snapToGrid/>
              <w:spacing w:line="240" w:lineRule="auto"/>
              <w:ind w:firstLine="0" w:firstLineChars="0"/>
              <w:rPr>
                <w:rFonts w:hint="eastAsia" w:eastAsia="宋体" w:cs="宋体"/>
                <w:color w:val="000000"/>
                <w:spacing w:val="0"/>
                <w:sz w:val="20"/>
                <w:szCs w:val="20"/>
              </w:rPr>
            </w:pPr>
          </w:p>
        </w:tc>
      </w:tr>
      <w:tr w14:paraId="6860550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253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10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0535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插座线</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A78B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1.规格：ZR-BV-4mm2</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29D6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E6F3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200 </w:t>
            </w:r>
          </w:p>
        </w:tc>
        <w:tc>
          <w:tcPr>
            <w:tcW w:w="487" w:type="pct"/>
            <w:tcBorders>
              <w:top w:val="single" w:color="000000" w:sz="4" w:space="0"/>
              <w:left w:val="single" w:color="000000" w:sz="4" w:space="0"/>
              <w:bottom w:val="single" w:color="000000" w:sz="4" w:space="0"/>
              <w:right w:val="single" w:color="000000" w:sz="4" w:space="0"/>
            </w:tcBorders>
            <w:vAlign w:val="center"/>
          </w:tcPr>
          <w:p w14:paraId="69365B7A">
            <w:pPr>
              <w:adjustRightInd/>
              <w:snapToGrid/>
              <w:spacing w:line="240" w:lineRule="auto"/>
              <w:ind w:firstLine="0" w:firstLineChars="0"/>
              <w:rPr>
                <w:rFonts w:hint="eastAsia" w:eastAsia="宋体" w:cs="宋体"/>
                <w:color w:val="000000"/>
                <w:spacing w:val="0"/>
                <w:sz w:val="20"/>
                <w:szCs w:val="20"/>
              </w:rPr>
            </w:pPr>
          </w:p>
        </w:tc>
      </w:tr>
      <w:tr w14:paraId="07DD9E4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07B3850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11 </w:t>
            </w:r>
          </w:p>
        </w:tc>
        <w:tc>
          <w:tcPr>
            <w:tcW w:w="559" w:type="pct"/>
            <w:tcBorders>
              <w:top w:val="single" w:color="000000" w:sz="4" w:space="0"/>
              <w:left w:val="single" w:color="000000" w:sz="4" w:space="0"/>
              <w:bottom w:val="single" w:color="000000" w:sz="4" w:space="0"/>
              <w:right w:val="single" w:color="000000" w:sz="4" w:space="0"/>
            </w:tcBorders>
            <w:vAlign w:val="center"/>
          </w:tcPr>
          <w:p w14:paraId="087C548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UPS输入线缆</w:t>
            </w:r>
          </w:p>
        </w:tc>
        <w:tc>
          <w:tcPr>
            <w:tcW w:w="3211" w:type="pct"/>
            <w:tcBorders>
              <w:top w:val="single" w:color="000000" w:sz="4" w:space="0"/>
              <w:left w:val="single" w:color="000000" w:sz="4" w:space="0"/>
              <w:bottom w:val="single" w:color="000000" w:sz="4" w:space="0"/>
              <w:right w:val="single" w:color="000000" w:sz="4" w:space="0"/>
            </w:tcBorders>
            <w:vAlign w:val="center"/>
          </w:tcPr>
          <w:p w14:paraId="3005C90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1.规格：WDZA-YJV3*10mm2</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vAlign w:val="center"/>
          </w:tcPr>
          <w:p w14:paraId="62A1C95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vAlign w:val="center"/>
          </w:tcPr>
          <w:p w14:paraId="3394183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15</w:t>
            </w:r>
          </w:p>
        </w:tc>
        <w:tc>
          <w:tcPr>
            <w:tcW w:w="487" w:type="pct"/>
            <w:tcBorders>
              <w:top w:val="single" w:color="000000" w:sz="4" w:space="0"/>
              <w:left w:val="single" w:color="000000" w:sz="4" w:space="0"/>
              <w:bottom w:val="single" w:color="000000" w:sz="4" w:space="0"/>
              <w:right w:val="single" w:color="000000" w:sz="4" w:space="0"/>
            </w:tcBorders>
            <w:vAlign w:val="center"/>
          </w:tcPr>
          <w:p w14:paraId="397DEB09">
            <w:pPr>
              <w:adjustRightInd/>
              <w:snapToGrid/>
              <w:spacing w:line="240" w:lineRule="auto"/>
              <w:ind w:firstLine="0" w:firstLineChars="0"/>
              <w:rPr>
                <w:rFonts w:hint="eastAsia" w:eastAsia="宋体" w:cs="宋体"/>
                <w:color w:val="000000"/>
                <w:spacing w:val="0"/>
                <w:sz w:val="20"/>
                <w:szCs w:val="20"/>
              </w:rPr>
            </w:pPr>
          </w:p>
        </w:tc>
      </w:tr>
      <w:tr w14:paraId="76948E79">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4BD7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12 </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B916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机柜线缆</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B7B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1.规格：WDZA-YJV3*4mm2</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6739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71B9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40</w:t>
            </w:r>
          </w:p>
        </w:tc>
        <w:tc>
          <w:tcPr>
            <w:tcW w:w="487" w:type="pct"/>
            <w:tcBorders>
              <w:top w:val="single" w:color="000000" w:sz="4" w:space="0"/>
              <w:left w:val="single" w:color="000000" w:sz="4" w:space="0"/>
              <w:bottom w:val="single" w:color="000000" w:sz="4" w:space="0"/>
              <w:right w:val="single" w:color="000000" w:sz="4" w:space="0"/>
            </w:tcBorders>
            <w:vAlign w:val="center"/>
          </w:tcPr>
          <w:p w14:paraId="25F04B75">
            <w:pPr>
              <w:adjustRightInd/>
              <w:snapToGrid/>
              <w:spacing w:line="240" w:lineRule="auto"/>
              <w:ind w:firstLine="0" w:firstLineChars="0"/>
              <w:rPr>
                <w:rFonts w:hint="eastAsia" w:eastAsia="宋体" w:cs="宋体"/>
                <w:color w:val="000000"/>
                <w:spacing w:val="0"/>
                <w:sz w:val="20"/>
                <w:szCs w:val="20"/>
              </w:rPr>
            </w:pPr>
          </w:p>
        </w:tc>
      </w:tr>
      <w:tr w14:paraId="7C6410FF">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57479F5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13 </w:t>
            </w:r>
          </w:p>
        </w:tc>
        <w:tc>
          <w:tcPr>
            <w:tcW w:w="559" w:type="pct"/>
            <w:tcBorders>
              <w:top w:val="single" w:color="000000" w:sz="4" w:space="0"/>
              <w:left w:val="single" w:color="000000" w:sz="4" w:space="0"/>
              <w:bottom w:val="single" w:color="000000" w:sz="4" w:space="0"/>
              <w:right w:val="single" w:color="000000" w:sz="4" w:space="0"/>
            </w:tcBorders>
            <w:vAlign w:val="center"/>
          </w:tcPr>
          <w:p w14:paraId="756D229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桥架</w:t>
            </w:r>
          </w:p>
        </w:tc>
        <w:tc>
          <w:tcPr>
            <w:tcW w:w="3211" w:type="pct"/>
            <w:tcBorders>
              <w:top w:val="single" w:color="000000" w:sz="4" w:space="0"/>
              <w:left w:val="single" w:color="000000" w:sz="4" w:space="0"/>
              <w:bottom w:val="single" w:color="000000" w:sz="4" w:space="0"/>
              <w:right w:val="single" w:color="000000" w:sz="4" w:space="0"/>
            </w:tcBorders>
            <w:vAlign w:val="center"/>
          </w:tcPr>
          <w:p w14:paraId="4148524E">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1.规格：200*100*1.0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2.材质：喷塑</w:t>
            </w:r>
          </w:p>
        </w:tc>
        <w:tc>
          <w:tcPr>
            <w:tcW w:w="264" w:type="pct"/>
            <w:tcBorders>
              <w:top w:val="single" w:color="000000" w:sz="4" w:space="0"/>
              <w:left w:val="single" w:color="000000" w:sz="4" w:space="0"/>
              <w:bottom w:val="single" w:color="000000" w:sz="4" w:space="0"/>
              <w:right w:val="single" w:color="000000" w:sz="4" w:space="0"/>
            </w:tcBorders>
            <w:vAlign w:val="center"/>
          </w:tcPr>
          <w:p w14:paraId="2694107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vAlign w:val="center"/>
          </w:tcPr>
          <w:p w14:paraId="6018569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12</w:t>
            </w:r>
          </w:p>
        </w:tc>
        <w:tc>
          <w:tcPr>
            <w:tcW w:w="487" w:type="pct"/>
            <w:tcBorders>
              <w:top w:val="single" w:color="000000" w:sz="4" w:space="0"/>
              <w:left w:val="single" w:color="000000" w:sz="4" w:space="0"/>
              <w:bottom w:val="single" w:color="000000" w:sz="4" w:space="0"/>
              <w:right w:val="single" w:color="000000" w:sz="4" w:space="0"/>
            </w:tcBorders>
            <w:vAlign w:val="center"/>
          </w:tcPr>
          <w:p w14:paraId="28C8C9C4">
            <w:pPr>
              <w:adjustRightInd/>
              <w:snapToGrid/>
              <w:spacing w:line="240" w:lineRule="auto"/>
              <w:ind w:firstLine="0" w:firstLineChars="0"/>
              <w:rPr>
                <w:rFonts w:hint="eastAsia" w:eastAsia="宋体" w:cs="宋体"/>
                <w:color w:val="000000"/>
                <w:spacing w:val="0"/>
                <w:sz w:val="20"/>
                <w:szCs w:val="20"/>
              </w:rPr>
            </w:pPr>
          </w:p>
        </w:tc>
      </w:tr>
      <w:tr w14:paraId="4F85EAE4">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3E3AB0D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14 </w:t>
            </w:r>
          </w:p>
        </w:tc>
        <w:tc>
          <w:tcPr>
            <w:tcW w:w="559" w:type="pct"/>
            <w:tcBorders>
              <w:top w:val="single" w:color="000000" w:sz="4" w:space="0"/>
              <w:left w:val="single" w:color="000000" w:sz="4" w:space="0"/>
              <w:bottom w:val="single" w:color="000000" w:sz="4" w:space="0"/>
              <w:right w:val="single" w:color="000000" w:sz="4" w:space="0"/>
            </w:tcBorders>
            <w:vAlign w:val="center"/>
          </w:tcPr>
          <w:p w14:paraId="4D69C4FB">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镀锌线管</w:t>
            </w:r>
          </w:p>
        </w:tc>
        <w:tc>
          <w:tcPr>
            <w:tcW w:w="3211" w:type="pct"/>
            <w:tcBorders>
              <w:top w:val="single" w:color="000000" w:sz="4" w:space="0"/>
              <w:left w:val="single" w:color="000000" w:sz="4" w:space="0"/>
              <w:bottom w:val="single" w:color="000000" w:sz="4" w:space="0"/>
              <w:right w:val="single" w:color="000000" w:sz="4" w:space="0"/>
            </w:tcBorders>
            <w:vAlign w:val="center"/>
          </w:tcPr>
          <w:p w14:paraId="6B5D458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1.规格：镀锌线管 φ20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2.厚度：1.0</w:t>
            </w:r>
          </w:p>
        </w:tc>
        <w:tc>
          <w:tcPr>
            <w:tcW w:w="264" w:type="pct"/>
            <w:tcBorders>
              <w:top w:val="single" w:color="000000" w:sz="4" w:space="0"/>
              <w:left w:val="single" w:color="000000" w:sz="4" w:space="0"/>
              <w:bottom w:val="single" w:color="000000" w:sz="4" w:space="0"/>
              <w:right w:val="single" w:color="000000" w:sz="4" w:space="0"/>
            </w:tcBorders>
            <w:vAlign w:val="center"/>
          </w:tcPr>
          <w:p w14:paraId="095551C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vAlign w:val="center"/>
          </w:tcPr>
          <w:p w14:paraId="34CCBD3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62.5</w:t>
            </w:r>
          </w:p>
        </w:tc>
        <w:tc>
          <w:tcPr>
            <w:tcW w:w="487" w:type="pct"/>
            <w:tcBorders>
              <w:top w:val="single" w:color="000000" w:sz="4" w:space="0"/>
              <w:left w:val="single" w:color="000000" w:sz="4" w:space="0"/>
              <w:bottom w:val="single" w:color="000000" w:sz="4" w:space="0"/>
              <w:right w:val="single" w:color="000000" w:sz="4" w:space="0"/>
            </w:tcBorders>
            <w:vAlign w:val="center"/>
          </w:tcPr>
          <w:p w14:paraId="5B75E166">
            <w:pPr>
              <w:adjustRightInd/>
              <w:snapToGrid/>
              <w:spacing w:line="240" w:lineRule="auto"/>
              <w:ind w:firstLine="0" w:firstLineChars="0"/>
              <w:rPr>
                <w:rFonts w:hint="eastAsia" w:eastAsia="宋体" w:cs="宋体"/>
                <w:color w:val="000000"/>
                <w:spacing w:val="0"/>
                <w:sz w:val="20"/>
                <w:szCs w:val="20"/>
              </w:rPr>
            </w:pPr>
          </w:p>
        </w:tc>
      </w:tr>
      <w:tr w14:paraId="42DC1AD5">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5484B88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 xml:space="preserve">15 </w:t>
            </w:r>
          </w:p>
        </w:tc>
        <w:tc>
          <w:tcPr>
            <w:tcW w:w="559" w:type="pct"/>
            <w:tcBorders>
              <w:top w:val="single" w:color="000000" w:sz="4" w:space="0"/>
              <w:left w:val="single" w:color="000000" w:sz="4" w:space="0"/>
              <w:bottom w:val="single" w:color="000000" w:sz="4" w:space="0"/>
              <w:right w:val="single" w:color="000000" w:sz="4" w:space="0"/>
            </w:tcBorders>
            <w:vAlign w:val="center"/>
          </w:tcPr>
          <w:p w14:paraId="2BABA816">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镀锌线管吊件</w:t>
            </w:r>
          </w:p>
        </w:tc>
        <w:tc>
          <w:tcPr>
            <w:tcW w:w="3211" w:type="pct"/>
            <w:tcBorders>
              <w:top w:val="single" w:color="000000" w:sz="4" w:space="0"/>
              <w:left w:val="single" w:color="000000" w:sz="4" w:space="0"/>
              <w:bottom w:val="single" w:color="000000" w:sz="4" w:space="0"/>
              <w:right w:val="single" w:color="000000" w:sz="4" w:space="0"/>
            </w:tcBorders>
            <w:vAlign w:val="center"/>
          </w:tcPr>
          <w:p w14:paraId="7659A88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1.镀锌线管配套</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2.含直接、弯头、吊件</w:t>
            </w:r>
          </w:p>
        </w:tc>
        <w:tc>
          <w:tcPr>
            <w:tcW w:w="264" w:type="pct"/>
            <w:tcBorders>
              <w:top w:val="single" w:color="000000" w:sz="4" w:space="0"/>
              <w:left w:val="single" w:color="000000" w:sz="4" w:space="0"/>
              <w:bottom w:val="single" w:color="000000" w:sz="4" w:space="0"/>
              <w:right w:val="single" w:color="000000" w:sz="4" w:space="0"/>
            </w:tcBorders>
            <w:vAlign w:val="center"/>
          </w:tcPr>
          <w:p w14:paraId="79B33D6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vAlign w:val="center"/>
          </w:tcPr>
          <w:p w14:paraId="7F4F001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4C9E1B5F">
            <w:pPr>
              <w:adjustRightInd/>
              <w:snapToGrid/>
              <w:spacing w:line="240" w:lineRule="auto"/>
              <w:ind w:firstLine="0" w:firstLineChars="0"/>
              <w:rPr>
                <w:rFonts w:hint="eastAsia" w:eastAsia="宋体" w:cs="宋体"/>
                <w:color w:val="000000"/>
                <w:spacing w:val="0"/>
                <w:sz w:val="20"/>
                <w:szCs w:val="20"/>
              </w:rPr>
            </w:pPr>
          </w:p>
        </w:tc>
      </w:tr>
      <w:tr w14:paraId="1598AD17">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01D7F1D0">
            <w:pPr>
              <w:adjustRightInd/>
              <w:snapToGrid/>
              <w:spacing w:line="240" w:lineRule="auto"/>
              <w:ind w:firstLine="0" w:firstLineChars="0"/>
              <w:jc w:val="left"/>
              <w:rPr>
                <w:rFonts w:hint="eastAsia" w:eastAsia="宋体" w:cs="宋体"/>
                <w:color w:val="000000"/>
                <w:spacing w:val="0"/>
                <w:sz w:val="20"/>
                <w:szCs w:val="20"/>
              </w:rPr>
            </w:pPr>
            <w:r>
              <w:rPr>
                <w:rFonts w:hint="eastAsia" w:eastAsia="宋体" w:cs="宋体"/>
                <w:b/>
                <w:bCs/>
                <w:color w:val="000000"/>
                <w:spacing w:val="0"/>
                <w:kern w:val="0"/>
                <w:sz w:val="20"/>
                <w:szCs w:val="20"/>
                <w:lang w:bidi="ar"/>
              </w:rPr>
              <w:t>三、气体灭火控制系统</w:t>
            </w:r>
          </w:p>
        </w:tc>
      </w:tr>
      <w:tr w14:paraId="73E7720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238FFBB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559" w:type="pct"/>
            <w:tcBorders>
              <w:top w:val="single" w:color="000000" w:sz="4" w:space="0"/>
              <w:left w:val="single" w:color="000000" w:sz="4" w:space="0"/>
              <w:bottom w:val="single" w:color="000000" w:sz="4" w:space="0"/>
              <w:right w:val="single" w:color="000000" w:sz="4" w:space="0"/>
            </w:tcBorders>
            <w:vAlign w:val="center"/>
          </w:tcPr>
          <w:p w14:paraId="1B323A9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柜式七氟丙烷灭火装置</w:t>
            </w:r>
          </w:p>
        </w:tc>
        <w:tc>
          <w:tcPr>
            <w:tcW w:w="3211" w:type="pct"/>
            <w:tcBorders>
              <w:top w:val="single" w:color="000000" w:sz="4" w:space="0"/>
              <w:left w:val="single" w:color="000000" w:sz="4" w:space="0"/>
              <w:bottom w:val="single" w:color="000000" w:sz="4" w:space="0"/>
              <w:right w:val="single" w:color="000000" w:sz="4" w:space="0"/>
            </w:tcBorders>
            <w:vAlign w:val="center"/>
          </w:tcPr>
          <w:p w14:paraId="64932E6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1.配件：包括钢瓶、容器阀、柜体、信号反馈 装置、连接软管、单喷嘴（不含灭火剂）；</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2.规格：每瓶充装70公斤灭火剂</w:t>
            </w:r>
          </w:p>
        </w:tc>
        <w:tc>
          <w:tcPr>
            <w:tcW w:w="264" w:type="pct"/>
            <w:tcBorders>
              <w:top w:val="single" w:color="000000" w:sz="4" w:space="0"/>
              <w:left w:val="single" w:color="000000" w:sz="4" w:space="0"/>
              <w:bottom w:val="single" w:color="000000" w:sz="4" w:space="0"/>
              <w:right w:val="single" w:color="000000" w:sz="4" w:space="0"/>
            </w:tcBorders>
            <w:vAlign w:val="center"/>
          </w:tcPr>
          <w:p w14:paraId="260C9C0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659153C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vMerge w:val="restart"/>
            <w:tcBorders>
              <w:top w:val="single" w:color="000000" w:sz="4" w:space="0"/>
              <w:left w:val="single" w:color="000000" w:sz="4" w:space="0"/>
              <w:bottom w:val="single" w:color="000000" w:sz="4" w:space="0"/>
              <w:right w:val="single" w:color="000000" w:sz="4" w:space="0"/>
            </w:tcBorders>
            <w:vAlign w:val="center"/>
          </w:tcPr>
          <w:p w14:paraId="2AB90479">
            <w:pPr>
              <w:adjustRightInd/>
              <w:snapToGrid/>
              <w:spacing w:line="240" w:lineRule="auto"/>
              <w:ind w:firstLine="0" w:firstLineChars="0"/>
              <w:jc w:val="left"/>
              <w:rPr>
                <w:rFonts w:hint="eastAsia" w:eastAsia="宋体" w:cs="宋体"/>
                <w:color w:val="000000"/>
                <w:spacing w:val="0"/>
                <w:sz w:val="20"/>
                <w:szCs w:val="20"/>
              </w:rPr>
            </w:pPr>
          </w:p>
        </w:tc>
      </w:tr>
      <w:tr w14:paraId="25FE5C25">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9F7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26E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七氟丙烷灭火剂</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93D4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1.名称：七氟丙烷灭火剂</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2.类型：HFC-227ea</w:t>
            </w:r>
          </w:p>
        </w:tc>
        <w:tc>
          <w:tcPr>
            <w:tcW w:w="264" w:type="pct"/>
            <w:tcBorders>
              <w:top w:val="single" w:color="000000" w:sz="4" w:space="0"/>
              <w:left w:val="single" w:color="000000" w:sz="4" w:space="0"/>
              <w:bottom w:val="single" w:color="000000" w:sz="4" w:space="0"/>
              <w:right w:val="single" w:color="000000" w:sz="4" w:space="0"/>
            </w:tcBorders>
            <w:vAlign w:val="center"/>
          </w:tcPr>
          <w:p w14:paraId="0CBF684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kg</w:t>
            </w:r>
          </w:p>
        </w:tc>
        <w:tc>
          <w:tcPr>
            <w:tcW w:w="245" w:type="pct"/>
            <w:tcBorders>
              <w:top w:val="single" w:color="000000" w:sz="4" w:space="0"/>
              <w:left w:val="single" w:color="000000" w:sz="4" w:space="0"/>
              <w:bottom w:val="single" w:color="000000" w:sz="4" w:space="0"/>
              <w:right w:val="single" w:color="000000" w:sz="4" w:space="0"/>
            </w:tcBorders>
            <w:vAlign w:val="center"/>
          </w:tcPr>
          <w:p w14:paraId="38E0588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40</w:t>
            </w:r>
          </w:p>
        </w:tc>
        <w:tc>
          <w:tcPr>
            <w:tcW w:w="487" w:type="pct"/>
            <w:vMerge w:val="continue"/>
            <w:tcBorders>
              <w:top w:val="single" w:color="000000" w:sz="4" w:space="0"/>
              <w:left w:val="single" w:color="000000" w:sz="4" w:space="0"/>
              <w:bottom w:val="single" w:color="000000" w:sz="4" w:space="0"/>
              <w:right w:val="single" w:color="000000" w:sz="4" w:space="0"/>
            </w:tcBorders>
            <w:vAlign w:val="center"/>
          </w:tcPr>
          <w:p w14:paraId="3D4DF681">
            <w:pPr>
              <w:adjustRightInd/>
              <w:snapToGrid/>
              <w:spacing w:line="240" w:lineRule="auto"/>
              <w:ind w:firstLine="0" w:firstLineChars="0"/>
              <w:jc w:val="left"/>
              <w:rPr>
                <w:rFonts w:hint="eastAsia" w:eastAsia="宋体" w:cs="宋体"/>
                <w:color w:val="000000"/>
                <w:spacing w:val="0"/>
                <w:sz w:val="20"/>
                <w:szCs w:val="20"/>
              </w:rPr>
            </w:pPr>
          </w:p>
        </w:tc>
      </w:tr>
      <w:tr w14:paraId="1D8EB4A9">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42B67BC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559" w:type="pct"/>
            <w:tcBorders>
              <w:top w:val="single" w:color="000000" w:sz="4" w:space="0"/>
              <w:left w:val="single" w:color="000000" w:sz="4" w:space="0"/>
              <w:bottom w:val="single" w:color="000000" w:sz="4" w:space="0"/>
              <w:right w:val="single" w:color="000000" w:sz="4" w:space="0"/>
            </w:tcBorders>
            <w:vAlign w:val="center"/>
          </w:tcPr>
          <w:p w14:paraId="1277067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防护区自动泄压装置</w:t>
            </w:r>
          </w:p>
        </w:tc>
        <w:tc>
          <w:tcPr>
            <w:tcW w:w="3211" w:type="pct"/>
            <w:tcBorders>
              <w:top w:val="single" w:color="000000" w:sz="4" w:space="0"/>
              <w:left w:val="nil"/>
              <w:bottom w:val="single" w:color="000000" w:sz="4" w:space="0"/>
              <w:right w:val="single" w:color="000000" w:sz="4" w:space="0"/>
            </w:tcBorders>
            <w:vAlign w:val="center"/>
          </w:tcPr>
          <w:p w14:paraId="7BBCF226">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1.技术要求：有效泄压面积约:0.1㎡</w:t>
            </w:r>
          </w:p>
        </w:tc>
        <w:tc>
          <w:tcPr>
            <w:tcW w:w="264" w:type="pct"/>
            <w:tcBorders>
              <w:top w:val="single" w:color="000000" w:sz="4" w:space="0"/>
              <w:left w:val="single" w:color="000000" w:sz="4" w:space="0"/>
              <w:bottom w:val="single" w:color="000000" w:sz="4" w:space="0"/>
              <w:right w:val="single" w:color="000000" w:sz="4" w:space="0"/>
            </w:tcBorders>
            <w:vAlign w:val="center"/>
          </w:tcPr>
          <w:p w14:paraId="76B77F0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2998B61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vMerge w:val="continue"/>
            <w:tcBorders>
              <w:top w:val="single" w:color="000000" w:sz="4" w:space="0"/>
              <w:left w:val="single" w:color="000000" w:sz="4" w:space="0"/>
              <w:bottom w:val="single" w:color="000000" w:sz="4" w:space="0"/>
              <w:right w:val="single" w:color="000000" w:sz="4" w:space="0"/>
            </w:tcBorders>
            <w:vAlign w:val="center"/>
          </w:tcPr>
          <w:p w14:paraId="19B4F0E6">
            <w:pPr>
              <w:adjustRightInd/>
              <w:snapToGrid/>
              <w:spacing w:line="240" w:lineRule="auto"/>
              <w:ind w:firstLine="0" w:firstLineChars="0"/>
              <w:jc w:val="left"/>
              <w:rPr>
                <w:rFonts w:hint="eastAsia" w:eastAsia="宋体" w:cs="宋体"/>
                <w:color w:val="000000"/>
                <w:spacing w:val="0"/>
                <w:sz w:val="20"/>
                <w:szCs w:val="20"/>
              </w:rPr>
            </w:pPr>
          </w:p>
        </w:tc>
      </w:tr>
      <w:tr w14:paraId="17537676">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641C9F2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w:t>
            </w:r>
          </w:p>
        </w:tc>
        <w:tc>
          <w:tcPr>
            <w:tcW w:w="559" w:type="pct"/>
            <w:tcBorders>
              <w:top w:val="single" w:color="000000" w:sz="4" w:space="0"/>
              <w:left w:val="single" w:color="000000" w:sz="4" w:space="0"/>
              <w:bottom w:val="single" w:color="000000" w:sz="4" w:space="0"/>
              <w:right w:val="single" w:color="000000" w:sz="4" w:space="0"/>
            </w:tcBorders>
            <w:vAlign w:val="center"/>
          </w:tcPr>
          <w:p w14:paraId="1452BC7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气体灭火控制器</w:t>
            </w:r>
          </w:p>
        </w:tc>
        <w:tc>
          <w:tcPr>
            <w:tcW w:w="3211" w:type="pct"/>
            <w:tcBorders>
              <w:top w:val="single" w:color="000000" w:sz="4" w:space="0"/>
              <w:left w:val="single" w:color="000000" w:sz="4" w:space="0"/>
              <w:bottom w:val="single" w:color="000000" w:sz="4" w:space="0"/>
              <w:right w:val="single" w:color="000000" w:sz="4" w:space="0"/>
            </w:tcBorders>
            <w:vAlign w:val="center"/>
          </w:tcPr>
          <w:p w14:paraId="3C4BEA1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1.技术要求：可实现2个防区的气体灭火控制</w:t>
            </w:r>
          </w:p>
        </w:tc>
        <w:tc>
          <w:tcPr>
            <w:tcW w:w="264" w:type="pct"/>
            <w:tcBorders>
              <w:top w:val="single" w:color="000000" w:sz="4" w:space="0"/>
              <w:left w:val="single" w:color="000000" w:sz="4" w:space="0"/>
              <w:bottom w:val="single" w:color="000000" w:sz="4" w:space="0"/>
              <w:right w:val="single" w:color="000000" w:sz="4" w:space="0"/>
            </w:tcBorders>
            <w:vAlign w:val="center"/>
          </w:tcPr>
          <w:p w14:paraId="2117C37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455D8ED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vMerge w:val="continue"/>
            <w:tcBorders>
              <w:top w:val="single" w:color="000000" w:sz="4" w:space="0"/>
              <w:left w:val="single" w:color="000000" w:sz="4" w:space="0"/>
              <w:bottom w:val="single" w:color="000000" w:sz="4" w:space="0"/>
              <w:right w:val="single" w:color="000000" w:sz="4" w:space="0"/>
            </w:tcBorders>
            <w:vAlign w:val="center"/>
          </w:tcPr>
          <w:p w14:paraId="7ACA16FC">
            <w:pPr>
              <w:adjustRightInd/>
              <w:snapToGrid/>
              <w:spacing w:line="240" w:lineRule="auto"/>
              <w:ind w:firstLine="0" w:firstLineChars="0"/>
              <w:jc w:val="left"/>
              <w:rPr>
                <w:rFonts w:hint="eastAsia" w:eastAsia="宋体" w:cs="宋体"/>
                <w:color w:val="000000"/>
                <w:spacing w:val="0"/>
                <w:sz w:val="20"/>
                <w:szCs w:val="20"/>
              </w:rPr>
            </w:pPr>
          </w:p>
        </w:tc>
      </w:tr>
      <w:tr w14:paraId="03C19545">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0BDEE1D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5</w:t>
            </w:r>
          </w:p>
        </w:tc>
        <w:tc>
          <w:tcPr>
            <w:tcW w:w="559" w:type="pct"/>
            <w:tcBorders>
              <w:top w:val="single" w:color="000000" w:sz="4" w:space="0"/>
              <w:left w:val="single" w:color="000000" w:sz="4" w:space="0"/>
              <w:bottom w:val="single" w:color="000000" w:sz="4" w:space="0"/>
              <w:right w:val="single" w:color="000000" w:sz="4" w:space="0"/>
            </w:tcBorders>
            <w:vAlign w:val="center"/>
          </w:tcPr>
          <w:p w14:paraId="24D0364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点型光电感烟火灾探测器</w:t>
            </w:r>
          </w:p>
        </w:tc>
        <w:tc>
          <w:tcPr>
            <w:tcW w:w="3211" w:type="pct"/>
            <w:tcBorders>
              <w:top w:val="single" w:color="000000" w:sz="4" w:space="0"/>
              <w:left w:val="single" w:color="000000" w:sz="4" w:space="0"/>
              <w:bottom w:val="single" w:color="000000" w:sz="4" w:space="0"/>
              <w:right w:val="single" w:color="000000" w:sz="4" w:space="0"/>
            </w:tcBorders>
            <w:vAlign w:val="center"/>
          </w:tcPr>
          <w:p w14:paraId="6025C69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1.双光电感烟探测器；</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2.采用专用嵌入式MCU技术的分布智能型产品；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3.电子编码，具有污染补偿功能；</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4.与LD10G底座配套使用。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0BD1AE7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只</w:t>
            </w:r>
          </w:p>
        </w:tc>
        <w:tc>
          <w:tcPr>
            <w:tcW w:w="245" w:type="pct"/>
            <w:tcBorders>
              <w:top w:val="single" w:color="000000" w:sz="4" w:space="0"/>
              <w:left w:val="single" w:color="000000" w:sz="4" w:space="0"/>
              <w:bottom w:val="single" w:color="000000" w:sz="4" w:space="0"/>
              <w:right w:val="single" w:color="000000" w:sz="4" w:space="0"/>
            </w:tcBorders>
            <w:vAlign w:val="center"/>
          </w:tcPr>
          <w:p w14:paraId="11B6FFB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07FC0613">
            <w:pPr>
              <w:adjustRightInd/>
              <w:snapToGrid/>
              <w:spacing w:line="240" w:lineRule="auto"/>
              <w:ind w:firstLine="0" w:firstLineChars="0"/>
              <w:jc w:val="left"/>
              <w:rPr>
                <w:rFonts w:hint="eastAsia" w:eastAsia="宋体" w:cs="宋体"/>
                <w:color w:val="000000"/>
                <w:spacing w:val="0"/>
                <w:sz w:val="20"/>
                <w:szCs w:val="20"/>
              </w:rPr>
            </w:pPr>
          </w:p>
        </w:tc>
      </w:tr>
      <w:tr w14:paraId="3045A05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4CCAD3A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6</w:t>
            </w:r>
          </w:p>
        </w:tc>
        <w:tc>
          <w:tcPr>
            <w:tcW w:w="559" w:type="pct"/>
            <w:tcBorders>
              <w:top w:val="single" w:color="000000" w:sz="4" w:space="0"/>
              <w:left w:val="single" w:color="000000" w:sz="4" w:space="0"/>
              <w:bottom w:val="single" w:color="000000" w:sz="4" w:space="0"/>
              <w:right w:val="single" w:color="000000" w:sz="4" w:space="0"/>
            </w:tcBorders>
            <w:vAlign w:val="center"/>
          </w:tcPr>
          <w:p w14:paraId="6DEA2FB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点型光电感温火灾探测器</w:t>
            </w:r>
          </w:p>
        </w:tc>
        <w:tc>
          <w:tcPr>
            <w:tcW w:w="3211" w:type="pct"/>
            <w:tcBorders>
              <w:top w:val="single" w:color="000000" w:sz="4" w:space="0"/>
              <w:left w:val="single" w:color="000000" w:sz="4" w:space="0"/>
              <w:bottom w:val="single" w:color="000000" w:sz="4" w:space="0"/>
              <w:right w:val="single" w:color="000000" w:sz="4" w:space="0"/>
            </w:tcBorders>
            <w:vAlign w:val="center"/>
          </w:tcPr>
          <w:p w14:paraId="2344D1AE">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1.智能型</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2.电子编码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3.具有定温特性（A2S）</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4.内置单片机</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5.与LD10G底座配套使用。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726F857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只</w:t>
            </w:r>
          </w:p>
        </w:tc>
        <w:tc>
          <w:tcPr>
            <w:tcW w:w="245" w:type="pct"/>
            <w:tcBorders>
              <w:top w:val="single" w:color="000000" w:sz="4" w:space="0"/>
              <w:left w:val="single" w:color="000000" w:sz="4" w:space="0"/>
              <w:bottom w:val="single" w:color="000000" w:sz="4" w:space="0"/>
              <w:right w:val="single" w:color="000000" w:sz="4" w:space="0"/>
            </w:tcBorders>
            <w:vAlign w:val="center"/>
          </w:tcPr>
          <w:p w14:paraId="28D6838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211EFA9B">
            <w:pPr>
              <w:adjustRightInd/>
              <w:snapToGrid/>
              <w:spacing w:line="240" w:lineRule="auto"/>
              <w:ind w:firstLine="0" w:firstLineChars="0"/>
              <w:jc w:val="left"/>
              <w:rPr>
                <w:rFonts w:hint="eastAsia" w:eastAsia="宋体" w:cs="宋体"/>
                <w:color w:val="000000"/>
                <w:spacing w:val="0"/>
                <w:sz w:val="20"/>
                <w:szCs w:val="20"/>
              </w:rPr>
            </w:pPr>
          </w:p>
        </w:tc>
      </w:tr>
      <w:tr w14:paraId="23BE7E68">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068749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7</w:t>
            </w:r>
          </w:p>
        </w:tc>
        <w:tc>
          <w:tcPr>
            <w:tcW w:w="559" w:type="pct"/>
            <w:tcBorders>
              <w:top w:val="single" w:color="000000" w:sz="4" w:space="0"/>
              <w:left w:val="single" w:color="000000" w:sz="4" w:space="0"/>
              <w:bottom w:val="single" w:color="000000" w:sz="4" w:space="0"/>
              <w:right w:val="single" w:color="000000" w:sz="4" w:space="0"/>
            </w:tcBorders>
            <w:vAlign w:val="center"/>
          </w:tcPr>
          <w:p w14:paraId="0EA8742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编码通用底座</w:t>
            </w:r>
          </w:p>
        </w:tc>
        <w:tc>
          <w:tcPr>
            <w:tcW w:w="3211" w:type="pct"/>
            <w:tcBorders>
              <w:top w:val="single" w:color="000000" w:sz="4" w:space="0"/>
              <w:left w:val="single" w:color="000000" w:sz="4" w:space="0"/>
              <w:bottom w:val="single" w:color="000000" w:sz="4" w:space="0"/>
              <w:right w:val="single" w:color="000000" w:sz="4" w:space="0"/>
            </w:tcBorders>
            <w:vAlign w:val="center"/>
          </w:tcPr>
          <w:p w14:paraId="7139552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1.技术要求：配合G系列编码探测器使用。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3FF40B8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只</w:t>
            </w:r>
          </w:p>
        </w:tc>
        <w:tc>
          <w:tcPr>
            <w:tcW w:w="245" w:type="pct"/>
            <w:tcBorders>
              <w:top w:val="single" w:color="000000" w:sz="4" w:space="0"/>
              <w:left w:val="single" w:color="000000" w:sz="4" w:space="0"/>
              <w:bottom w:val="single" w:color="000000" w:sz="4" w:space="0"/>
              <w:right w:val="single" w:color="000000" w:sz="4" w:space="0"/>
            </w:tcBorders>
            <w:vAlign w:val="center"/>
          </w:tcPr>
          <w:p w14:paraId="01C2657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450FEE12">
            <w:pPr>
              <w:adjustRightInd/>
              <w:snapToGrid/>
              <w:spacing w:line="240" w:lineRule="auto"/>
              <w:ind w:firstLine="0" w:firstLineChars="0"/>
              <w:jc w:val="left"/>
              <w:rPr>
                <w:rFonts w:hint="eastAsia" w:eastAsia="宋体" w:cs="宋体"/>
                <w:color w:val="000000"/>
                <w:spacing w:val="0"/>
                <w:sz w:val="20"/>
                <w:szCs w:val="20"/>
              </w:rPr>
            </w:pPr>
          </w:p>
        </w:tc>
      </w:tr>
      <w:tr w14:paraId="144CF4BE">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23D7591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8</w:t>
            </w:r>
          </w:p>
        </w:tc>
        <w:tc>
          <w:tcPr>
            <w:tcW w:w="559" w:type="pct"/>
            <w:tcBorders>
              <w:top w:val="single" w:color="000000" w:sz="4" w:space="0"/>
              <w:left w:val="single" w:color="000000" w:sz="4" w:space="0"/>
              <w:bottom w:val="single" w:color="000000" w:sz="4" w:space="0"/>
              <w:right w:val="single" w:color="000000" w:sz="4" w:space="0"/>
            </w:tcBorders>
            <w:vAlign w:val="center"/>
          </w:tcPr>
          <w:p w14:paraId="24C8FD6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火灾声光警报器</w:t>
            </w:r>
          </w:p>
        </w:tc>
        <w:tc>
          <w:tcPr>
            <w:tcW w:w="3211" w:type="pct"/>
            <w:tcBorders>
              <w:top w:val="single" w:color="000000" w:sz="4" w:space="0"/>
              <w:left w:val="single" w:color="000000" w:sz="4" w:space="0"/>
              <w:bottom w:val="single" w:color="000000" w:sz="4" w:space="0"/>
              <w:right w:val="single" w:color="000000" w:sz="4" w:space="0"/>
            </w:tcBorders>
            <w:vAlign w:val="center"/>
          </w:tcPr>
          <w:p w14:paraId="7D0CBAE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1.编码型</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2.占联动点</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3.与E/EN系列控制器配合使用。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35BE9AE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只</w:t>
            </w:r>
          </w:p>
        </w:tc>
        <w:tc>
          <w:tcPr>
            <w:tcW w:w="245" w:type="pct"/>
            <w:tcBorders>
              <w:top w:val="single" w:color="000000" w:sz="4" w:space="0"/>
              <w:left w:val="single" w:color="000000" w:sz="4" w:space="0"/>
              <w:bottom w:val="single" w:color="000000" w:sz="4" w:space="0"/>
              <w:right w:val="single" w:color="000000" w:sz="4" w:space="0"/>
            </w:tcBorders>
            <w:vAlign w:val="center"/>
          </w:tcPr>
          <w:p w14:paraId="29931A3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4AB65A7E">
            <w:pPr>
              <w:adjustRightInd/>
              <w:snapToGrid/>
              <w:spacing w:line="240" w:lineRule="auto"/>
              <w:ind w:firstLine="0" w:firstLineChars="0"/>
              <w:jc w:val="left"/>
              <w:rPr>
                <w:rFonts w:hint="eastAsia" w:eastAsia="宋体" w:cs="宋体"/>
                <w:color w:val="000000"/>
                <w:spacing w:val="0"/>
                <w:sz w:val="20"/>
                <w:szCs w:val="20"/>
              </w:rPr>
            </w:pPr>
          </w:p>
        </w:tc>
      </w:tr>
      <w:tr w14:paraId="3A4215C1">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261105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9</w:t>
            </w:r>
          </w:p>
        </w:tc>
        <w:tc>
          <w:tcPr>
            <w:tcW w:w="559" w:type="pct"/>
            <w:tcBorders>
              <w:top w:val="single" w:color="000000" w:sz="4" w:space="0"/>
              <w:left w:val="single" w:color="000000" w:sz="4" w:space="0"/>
              <w:bottom w:val="single" w:color="000000" w:sz="4" w:space="0"/>
              <w:right w:val="single" w:color="000000" w:sz="4" w:space="0"/>
            </w:tcBorders>
            <w:vAlign w:val="center"/>
          </w:tcPr>
          <w:p w14:paraId="4113D336">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放气指示灯</w:t>
            </w:r>
          </w:p>
        </w:tc>
        <w:tc>
          <w:tcPr>
            <w:tcW w:w="3211" w:type="pct"/>
            <w:tcBorders>
              <w:top w:val="single" w:color="000000" w:sz="4" w:space="0"/>
              <w:left w:val="single" w:color="000000" w:sz="4" w:space="0"/>
              <w:bottom w:val="single" w:color="000000" w:sz="4" w:space="0"/>
              <w:right w:val="single" w:color="000000" w:sz="4" w:space="0"/>
            </w:tcBorders>
            <w:vAlign w:val="center"/>
          </w:tcPr>
          <w:p w14:paraId="63D8277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1.编码型</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2.占用一个地址点</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3.与气体灭火控制器配套使用。</w:t>
            </w:r>
          </w:p>
        </w:tc>
        <w:tc>
          <w:tcPr>
            <w:tcW w:w="264" w:type="pct"/>
            <w:tcBorders>
              <w:top w:val="single" w:color="000000" w:sz="4" w:space="0"/>
              <w:left w:val="single" w:color="000000" w:sz="4" w:space="0"/>
              <w:bottom w:val="single" w:color="000000" w:sz="4" w:space="0"/>
              <w:right w:val="single" w:color="000000" w:sz="4" w:space="0"/>
            </w:tcBorders>
            <w:vAlign w:val="center"/>
          </w:tcPr>
          <w:p w14:paraId="55637CC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只</w:t>
            </w:r>
          </w:p>
        </w:tc>
        <w:tc>
          <w:tcPr>
            <w:tcW w:w="245" w:type="pct"/>
            <w:tcBorders>
              <w:top w:val="single" w:color="000000" w:sz="4" w:space="0"/>
              <w:left w:val="single" w:color="000000" w:sz="4" w:space="0"/>
              <w:bottom w:val="single" w:color="000000" w:sz="4" w:space="0"/>
              <w:right w:val="single" w:color="000000" w:sz="4" w:space="0"/>
            </w:tcBorders>
            <w:vAlign w:val="center"/>
          </w:tcPr>
          <w:p w14:paraId="0E2922F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6C84DBD3">
            <w:pPr>
              <w:adjustRightInd/>
              <w:snapToGrid/>
              <w:spacing w:line="240" w:lineRule="auto"/>
              <w:ind w:firstLine="0" w:firstLineChars="0"/>
              <w:jc w:val="left"/>
              <w:rPr>
                <w:rFonts w:hint="eastAsia" w:eastAsia="宋体" w:cs="宋体"/>
                <w:color w:val="000000"/>
                <w:spacing w:val="0"/>
                <w:sz w:val="20"/>
                <w:szCs w:val="20"/>
              </w:rPr>
            </w:pPr>
          </w:p>
        </w:tc>
      </w:tr>
      <w:tr w14:paraId="7E5B270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7236C66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10</w:t>
            </w:r>
          </w:p>
        </w:tc>
        <w:tc>
          <w:tcPr>
            <w:tcW w:w="559" w:type="pct"/>
            <w:tcBorders>
              <w:top w:val="single" w:color="000000" w:sz="4" w:space="0"/>
              <w:left w:val="single" w:color="000000" w:sz="4" w:space="0"/>
              <w:bottom w:val="single" w:color="000000" w:sz="4" w:space="0"/>
              <w:right w:val="single" w:color="000000" w:sz="4" w:space="0"/>
            </w:tcBorders>
            <w:vAlign w:val="center"/>
          </w:tcPr>
          <w:p w14:paraId="002AFAB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警铃</w:t>
            </w:r>
          </w:p>
        </w:tc>
        <w:tc>
          <w:tcPr>
            <w:tcW w:w="3211" w:type="pct"/>
            <w:tcBorders>
              <w:top w:val="single" w:color="000000" w:sz="4" w:space="0"/>
              <w:left w:val="single" w:color="000000" w:sz="4" w:space="0"/>
              <w:bottom w:val="single" w:color="000000" w:sz="4" w:space="0"/>
              <w:right w:val="single" w:color="000000" w:sz="4" w:space="0"/>
            </w:tcBorders>
            <w:vAlign w:val="center"/>
          </w:tcPr>
          <w:p w14:paraId="6C09265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 xml:space="preserve">1.工作电压：DC20v—DC30v     </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2.工作电流：25mA</w:t>
            </w:r>
          </w:p>
        </w:tc>
        <w:tc>
          <w:tcPr>
            <w:tcW w:w="264" w:type="pct"/>
            <w:tcBorders>
              <w:top w:val="single" w:color="000000" w:sz="4" w:space="0"/>
              <w:left w:val="single" w:color="000000" w:sz="4" w:space="0"/>
              <w:bottom w:val="single" w:color="000000" w:sz="4" w:space="0"/>
              <w:right w:val="single" w:color="000000" w:sz="4" w:space="0"/>
            </w:tcBorders>
            <w:vAlign w:val="center"/>
          </w:tcPr>
          <w:p w14:paraId="2363843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只</w:t>
            </w:r>
          </w:p>
        </w:tc>
        <w:tc>
          <w:tcPr>
            <w:tcW w:w="245" w:type="pct"/>
            <w:tcBorders>
              <w:top w:val="single" w:color="000000" w:sz="4" w:space="0"/>
              <w:left w:val="single" w:color="000000" w:sz="4" w:space="0"/>
              <w:bottom w:val="single" w:color="000000" w:sz="4" w:space="0"/>
              <w:right w:val="single" w:color="000000" w:sz="4" w:space="0"/>
            </w:tcBorders>
            <w:vAlign w:val="center"/>
          </w:tcPr>
          <w:p w14:paraId="7B3277D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74FB0F0D">
            <w:pPr>
              <w:adjustRightInd/>
              <w:snapToGrid/>
              <w:spacing w:line="240" w:lineRule="auto"/>
              <w:ind w:firstLine="0" w:firstLineChars="0"/>
              <w:jc w:val="left"/>
              <w:rPr>
                <w:rFonts w:hint="eastAsia" w:eastAsia="宋体" w:cs="宋体"/>
                <w:color w:val="000000"/>
                <w:spacing w:val="0"/>
                <w:sz w:val="20"/>
                <w:szCs w:val="20"/>
              </w:rPr>
            </w:pPr>
          </w:p>
        </w:tc>
      </w:tr>
      <w:tr w14:paraId="15E82DB0">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71F24C5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11</w:t>
            </w:r>
          </w:p>
        </w:tc>
        <w:tc>
          <w:tcPr>
            <w:tcW w:w="559" w:type="pct"/>
            <w:tcBorders>
              <w:top w:val="single" w:color="000000" w:sz="4" w:space="0"/>
              <w:left w:val="single" w:color="000000" w:sz="4" w:space="0"/>
              <w:bottom w:val="single" w:color="000000" w:sz="4" w:space="0"/>
              <w:right w:val="single" w:color="000000" w:sz="4" w:space="0"/>
            </w:tcBorders>
            <w:vAlign w:val="center"/>
          </w:tcPr>
          <w:p w14:paraId="49205DC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紧急启/停按钮</w:t>
            </w:r>
          </w:p>
        </w:tc>
        <w:tc>
          <w:tcPr>
            <w:tcW w:w="3211" w:type="pct"/>
            <w:tcBorders>
              <w:top w:val="single" w:color="000000" w:sz="4" w:space="0"/>
              <w:left w:val="single" w:color="000000" w:sz="4" w:space="0"/>
              <w:bottom w:val="single" w:color="000000" w:sz="4" w:space="0"/>
              <w:right w:val="single" w:color="000000" w:sz="4" w:space="0"/>
            </w:tcBorders>
            <w:vAlign w:val="center"/>
          </w:tcPr>
          <w:p w14:paraId="3EFF35A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1.编码型</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2.配合新一代气体灭火一体机LD5507EN、LD5509EN使用</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3.实现现场紧急启动和紧急停止以及现场手动/自动切换控制。</w:t>
            </w:r>
          </w:p>
        </w:tc>
        <w:tc>
          <w:tcPr>
            <w:tcW w:w="264" w:type="pct"/>
            <w:tcBorders>
              <w:top w:val="single" w:color="000000" w:sz="4" w:space="0"/>
              <w:left w:val="single" w:color="000000" w:sz="4" w:space="0"/>
              <w:bottom w:val="single" w:color="000000" w:sz="4" w:space="0"/>
              <w:right w:val="single" w:color="000000" w:sz="4" w:space="0"/>
            </w:tcBorders>
            <w:vAlign w:val="center"/>
          </w:tcPr>
          <w:p w14:paraId="7B3D879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只</w:t>
            </w:r>
          </w:p>
        </w:tc>
        <w:tc>
          <w:tcPr>
            <w:tcW w:w="245" w:type="pct"/>
            <w:tcBorders>
              <w:top w:val="single" w:color="000000" w:sz="4" w:space="0"/>
              <w:left w:val="single" w:color="000000" w:sz="4" w:space="0"/>
              <w:bottom w:val="single" w:color="000000" w:sz="4" w:space="0"/>
              <w:right w:val="single" w:color="000000" w:sz="4" w:space="0"/>
            </w:tcBorders>
            <w:vAlign w:val="center"/>
          </w:tcPr>
          <w:p w14:paraId="094DA71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6A336F09">
            <w:pPr>
              <w:adjustRightInd/>
              <w:snapToGrid/>
              <w:spacing w:line="240" w:lineRule="auto"/>
              <w:ind w:firstLine="0" w:firstLineChars="0"/>
              <w:jc w:val="left"/>
              <w:rPr>
                <w:rFonts w:hint="eastAsia" w:eastAsia="宋体" w:cs="宋体"/>
                <w:color w:val="000000"/>
                <w:spacing w:val="0"/>
                <w:sz w:val="20"/>
                <w:szCs w:val="20"/>
              </w:rPr>
            </w:pPr>
          </w:p>
        </w:tc>
      </w:tr>
      <w:tr w14:paraId="532A3B60">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5DD0683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12</w:t>
            </w:r>
          </w:p>
        </w:tc>
        <w:tc>
          <w:tcPr>
            <w:tcW w:w="559" w:type="pct"/>
            <w:tcBorders>
              <w:top w:val="single" w:color="000000" w:sz="4" w:space="0"/>
              <w:left w:val="single" w:color="000000" w:sz="4" w:space="0"/>
              <w:bottom w:val="single" w:color="000000" w:sz="4" w:space="0"/>
              <w:right w:val="single" w:color="000000" w:sz="4" w:space="0"/>
            </w:tcBorders>
            <w:vAlign w:val="center"/>
          </w:tcPr>
          <w:p w14:paraId="4FCFC41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镀锌线管</w:t>
            </w:r>
          </w:p>
        </w:tc>
        <w:tc>
          <w:tcPr>
            <w:tcW w:w="3211" w:type="pct"/>
            <w:tcBorders>
              <w:top w:val="single" w:color="000000" w:sz="4" w:space="0"/>
              <w:left w:val="single" w:color="000000" w:sz="4" w:space="0"/>
              <w:bottom w:val="single" w:color="000000" w:sz="4" w:space="0"/>
              <w:right w:val="single" w:color="000000" w:sz="4" w:space="0"/>
            </w:tcBorders>
            <w:vAlign w:val="center"/>
          </w:tcPr>
          <w:p w14:paraId="575FEEE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1.规格：镀锌线管 φ20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2.厚度：1.0</w:t>
            </w:r>
          </w:p>
        </w:tc>
        <w:tc>
          <w:tcPr>
            <w:tcW w:w="264" w:type="pct"/>
            <w:tcBorders>
              <w:top w:val="single" w:color="000000" w:sz="4" w:space="0"/>
              <w:left w:val="single" w:color="000000" w:sz="4" w:space="0"/>
              <w:bottom w:val="single" w:color="000000" w:sz="4" w:space="0"/>
              <w:right w:val="single" w:color="000000" w:sz="4" w:space="0"/>
            </w:tcBorders>
            <w:vAlign w:val="center"/>
          </w:tcPr>
          <w:p w14:paraId="37ED173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vAlign w:val="center"/>
          </w:tcPr>
          <w:p w14:paraId="748E528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50</w:t>
            </w:r>
          </w:p>
        </w:tc>
        <w:tc>
          <w:tcPr>
            <w:tcW w:w="487" w:type="pct"/>
            <w:tcBorders>
              <w:top w:val="single" w:color="000000" w:sz="4" w:space="0"/>
              <w:left w:val="single" w:color="000000" w:sz="4" w:space="0"/>
              <w:bottom w:val="single" w:color="000000" w:sz="4" w:space="0"/>
              <w:right w:val="single" w:color="000000" w:sz="4" w:space="0"/>
            </w:tcBorders>
            <w:vAlign w:val="center"/>
          </w:tcPr>
          <w:p w14:paraId="71A4F9AD">
            <w:pPr>
              <w:adjustRightInd/>
              <w:snapToGrid/>
              <w:spacing w:line="240" w:lineRule="auto"/>
              <w:ind w:firstLine="0" w:firstLineChars="0"/>
              <w:jc w:val="left"/>
              <w:rPr>
                <w:rFonts w:hint="eastAsia" w:eastAsia="宋体" w:cs="宋体"/>
                <w:color w:val="000000"/>
                <w:spacing w:val="0"/>
                <w:sz w:val="20"/>
                <w:szCs w:val="20"/>
              </w:rPr>
            </w:pPr>
          </w:p>
        </w:tc>
      </w:tr>
      <w:tr w14:paraId="2712C5E3">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3E9845C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13</w:t>
            </w:r>
          </w:p>
        </w:tc>
        <w:tc>
          <w:tcPr>
            <w:tcW w:w="559" w:type="pct"/>
            <w:tcBorders>
              <w:top w:val="single" w:color="000000" w:sz="4" w:space="0"/>
              <w:left w:val="single" w:color="000000" w:sz="4" w:space="0"/>
              <w:bottom w:val="single" w:color="000000" w:sz="4" w:space="0"/>
              <w:right w:val="single" w:color="000000" w:sz="4" w:space="0"/>
            </w:tcBorders>
            <w:vAlign w:val="center"/>
          </w:tcPr>
          <w:p w14:paraId="21ED813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镀锌线管吊件</w:t>
            </w:r>
          </w:p>
        </w:tc>
        <w:tc>
          <w:tcPr>
            <w:tcW w:w="3211" w:type="pct"/>
            <w:tcBorders>
              <w:top w:val="single" w:color="000000" w:sz="4" w:space="0"/>
              <w:left w:val="single" w:color="000000" w:sz="4" w:space="0"/>
              <w:bottom w:val="single" w:color="000000" w:sz="4" w:space="0"/>
              <w:right w:val="single" w:color="000000" w:sz="4" w:space="0"/>
            </w:tcBorders>
            <w:vAlign w:val="center"/>
          </w:tcPr>
          <w:p w14:paraId="2B067CA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1.镀锌线管配套</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2.含直接、弯头、吊件</w:t>
            </w:r>
          </w:p>
        </w:tc>
        <w:tc>
          <w:tcPr>
            <w:tcW w:w="264" w:type="pct"/>
            <w:tcBorders>
              <w:top w:val="single" w:color="000000" w:sz="4" w:space="0"/>
              <w:left w:val="single" w:color="000000" w:sz="4" w:space="0"/>
              <w:bottom w:val="single" w:color="000000" w:sz="4" w:space="0"/>
              <w:right w:val="single" w:color="000000" w:sz="4" w:space="0"/>
            </w:tcBorders>
            <w:vAlign w:val="center"/>
          </w:tcPr>
          <w:p w14:paraId="46E66EF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vAlign w:val="center"/>
          </w:tcPr>
          <w:p w14:paraId="66B0804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70DCBCB2">
            <w:pPr>
              <w:adjustRightInd/>
              <w:snapToGrid/>
              <w:spacing w:line="240" w:lineRule="auto"/>
              <w:ind w:firstLine="0" w:firstLineChars="0"/>
              <w:jc w:val="left"/>
              <w:rPr>
                <w:rFonts w:hint="eastAsia" w:eastAsia="宋体" w:cs="宋体"/>
                <w:color w:val="000000"/>
                <w:spacing w:val="0"/>
                <w:sz w:val="20"/>
                <w:szCs w:val="20"/>
              </w:rPr>
            </w:pPr>
          </w:p>
        </w:tc>
      </w:tr>
      <w:tr w14:paraId="56D83F19">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375B777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14</w:t>
            </w:r>
          </w:p>
        </w:tc>
        <w:tc>
          <w:tcPr>
            <w:tcW w:w="559" w:type="pct"/>
            <w:tcBorders>
              <w:top w:val="single" w:color="000000" w:sz="4" w:space="0"/>
              <w:left w:val="single" w:color="000000" w:sz="4" w:space="0"/>
              <w:bottom w:val="single" w:color="000000" w:sz="4" w:space="0"/>
              <w:right w:val="single" w:color="000000" w:sz="4" w:space="0"/>
            </w:tcBorders>
            <w:vAlign w:val="center"/>
          </w:tcPr>
          <w:p w14:paraId="3591104E">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阻燃电线</w:t>
            </w:r>
          </w:p>
        </w:tc>
        <w:tc>
          <w:tcPr>
            <w:tcW w:w="3211" w:type="pct"/>
            <w:tcBorders>
              <w:top w:val="single" w:color="000000" w:sz="4" w:space="0"/>
              <w:left w:val="single" w:color="000000" w:sz="4" w:space="0"/>
              <w:bottom w:val="single" w:color="000000" w:sz="4" w:space="0"/>
              <w:right w:val="single" w:color="000000" w:sz="4" w:space="0"/>
            </w:tcBorders>
            <w:vAlign w:val="center"/>
          </w:tcPr>
          <w:p w14:paraId="4FEB430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1.规格：ZR-RVS2*1.5</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vAlign w:val="center"/>
          </w:tcPr>
          <w:p w14:paraId="39CC7E8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vAlign w:val="center"/>
          </w:tcPr>
          <w:p w14:paraId="5C60DCB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200</w:t>
            </w:r>
          </w:p>
        </w:tc>
        <w:tc>
          <w:tcPr>
            <w:tcW w:w="487" w:type="pct"/>
            <w:tcBorders>
              <w:top w:val="single" w:color="000000" w:sz="4" w:space="0"/>
              <w:left w:val="single" w:color="000000" w:sz="4" w:space="0"/>
              <w:bottom w:val="single" w:color="000000" w:sz="4" w:space="0"/>
              <w:right w:val="single" w:color="000000" w:sz="4" w:space="0"/>
            </w:tcBorders>
            <w:vAlign w:val="center"/>
          </w:tcPr>
          <w:p w14:paraId="4B38D527">
            <w:pPr>
              <w:adjustRightInd/>
              <w:snapToGrid/>
              <w:spacing w:line="240" w:lineRule="auto"/>
              <w:ind w:firstLine="0" w:firstLineChars="0"/>
              <w:jc w:val="left"/>
              <w:rPr>
                <w:rFonts w:hint="eastAsia" w:eastAsia="宋体" w:cs="宋体"/>
                <w:color w:val="000000"/>
                <w:spacing w:val="0"/>
                <w:sz w:val="20"/>
                <w:szCs w:val="20"/>
              </w:rPr>
            </w:pPr>
          </w:p>
        </w:tc>
      </w:tr>
      <w:tr w14:paraId="53ED255D">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4366D3AB">
            <w:pPr>
              <w:adjustRightInd/>
              <w:snapToGrid/>
              <w:spacing w:line="240" w:lineRule="auto"/>
              <w:ind w:firstLine="0" w:firstLineChars="0"/>
              <w:jc w:val="left"/>
              <w:rPr>
                <w:rFonts w:hint="eastAsia" w:eastAsia="宋体" w:cs="宋体"/>
                <w:color w:val="000000"/>
                <w:spacing w:val="0"/>
                <w:sz w:val="20"/>
                <w:szCs w:val="20"/>
              </w:rPr>
            </w:pPr>
            <w:r>
              <w:rPr>
                <w:rFonts w:hint="eastAsia" w:eastAsia="宋体" w:cs="宋体"/>
                <w:b/>
                <w:bCs/>
                <w:color w:val="000000"/>
                <w:spacing w:val="0"/>
                <w:kern w:val="0"/>
                <w:sz w:val="20"/>
                <w:szCs w:val="20"/>
                <w:lang w:bidi="ar"/>
              </w:rPr>
              <w:t>四、动环系统</w:t>
            </w:r>
          </w:p>
        </w:tc>
      </w:tr>
      <w:tr w14:paraId="2EA5A335">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79D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83F0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嵌入式数据采集主机</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9B5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1.RS485输入≥8路；</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2.TCP/IP信号接入网络，支持TCP/IP,ModbusRTU等通用协议；</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7004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65FF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6783A53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接入数据中心机房动环平台</w:t>
            </w:r>
          </w:p>
        </w:tc>
      </w:tr>
      <w:tr w14:paraId="3D69344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7A1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8D53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UPS监控</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AD1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1.技术要求：需监测UPS参数如：输入电压、输入频率、输入电流、输出电压、输出频率、输出电流、输出功率、机箱温度、电池电压、电池充电程度(后备时间)等</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90C8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B106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37C90A63">
            <w:pPr>
              <w:adjustRightInd/>
              <w:snapToGrid/>
              <w:spacing w:line="240" w:lineRule="auto"/>
              <w:ind w:firstLine="0" w:firstLineChars="0"/>
              <w:rPr>
                <w:rFonts w:hint="eastAsia" w:eastAsia="宋体" w:cs="宋体"/>
                <w:color w:val="000000"/>
                <w:spacing w:val="0"/>
                <w:sz w:val="20"/>
                <w:szCs w:val="20"/>
              </w:rPr>
            </w:pPr>
          </w:p>
        </w:tc>
      </w:tr>
      <w:tr w14:paraId="6B8FAE5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356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D4A4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精密空调监控</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1EA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1.技术要求：对精密空调进行远程遥控、遥信、参数监测、故障诊断，监控空调各部件(压缩机、风机、加热器、加湿器、去湿器、滤网等)的运行状态与参数</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58E1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828B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737DBA89">
            <w:pPr>
              <w:adjustRightInd/>
              <w:snapToGrid/>
              <w:spacing w:line="240" w:lineRule="auto"/>
              <w:ind w:firstLine="0" w:firstLineChars="0"/>
              <w:rPr>
                <w:rFonts w:hint="eastAsia" w:eastAsia="宋体" w:cs="宋体"/>
                <w:color w:val="000000"/>
                <w:spacing w:val="0"/>
                <w:sz w:val="20"/>
                <w:szCs w:val="20"/>
              </w:rPr>
            </w:pPr>
          </w:p>
        </w:tc>
      </w:tr>
      <w:tr w14:paraId="3A7286C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CD8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F039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温湿度传感器</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FF3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1.12VDC供电</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2.测量范围:</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温度：-20℃~70℃ ，精度±0.5 ℃</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湿度：0～100%rh，精度±3%rh</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DC41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D03C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67319D4F">
            <w:pPr>
              <w:adjustRightInd/>
              <w:snapToGrid/>
              <w:spacing w:line="240" w:lineRule="auto"/>
              <w:ind w:firstLine="0" w:firstLineChars="0"/>
              <w:rPr>
                <w:rFonts w:hint="eastAsia" w:eastAsia="宋体" w:cs="宋体"/>
                <w:color w:val="000000"/>
                <w:spacing w:val="0"/>
                <w:sz w:val="20"/>
                <w:szCs w:val="20"/>
              </w:rPr>
            </w:pPr>
          </w:p>
        </w:tc>
      </w:tr>
      <w:tr w14:paraId="52B68B9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52F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335B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烟雾传感器</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1AB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1.工作电压：DC 12 V</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2.静态电流：≤5mA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3.报警电流：≤80mA</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4.工作温度：－10℃ to +50℃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5.环境湿度：≤95%RH</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6.安装方式：吸顶</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7.监测面积：20平方米</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8.指示灯：30秒闪一次</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9.报警输出：继电器常开／常闭</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C966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1E62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29C03177">
            <w:pPr>
              <w:adjustRightInd/>
              <w:snapToGrid/>
              <w:spacing w:line="240" w:lineRule="auto"/>
              <w:ind w:firstLine="0" w:firstLineChars="0"/>
              <w:rPr>
                <w:rFonts w:hint="eastAsia" w:eastAsia="宋体" w:cs="宋体"/>
                <w:color w:val="000000"/>
                <w:spacing w:val="0"/>
                <w:sz w:val="20"/>
                <w:szCs w:val="20"/>
              </w:rPr>
            </w:pPr>
          </w:p>
        </w:tc>
      </w:tr>
      <w:tr w14:paraId="6B094751">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45D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6</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C77C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区域式漏水传感器</w:t>
            </w:r>
          </w:p>
        </w:tc>
        <w:tc>
          <w:tcPr>
            <w:tcW w:w="3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1C0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1.技术要求：多路干接点输出信号 (漏水1路、断线1路)声音设置灵活：声音有/无，声音锁定/不锁定丰富的指示灯内容，闪动代表有未确认警报,兼容多种感应线可调节灵敏度,响应时间5s</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DC70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347E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45487616">
            <w:pPr>
              <w:adjustRightInd/>
              <w:snapToGrid/>
              <w:spacing w:line="240" w:lineRule="auto"/>
              <w:ind w:firstLine="0" w:firstLineChars="0"/>
              <w:rPr>
                <w:rFonts w:hint="eastAsia" w:eastAsia="宋体" w:cs="宋体"/>
                <w:color w:val="000000"/>
                <w:spacing w:val="0"/>
                <w:sz w:val="20"/>
                <w:szCs w:val="20"/>
              </w:rPr>
            </w:pPr>
          </w:p>
        </w:tc>
      </w:tr>
      <w:tr w14:paraId="5A09B2E5">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ED6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7</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F6D4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门禁人脸一体机</w:t>
            </w:r>
          </w:p>
        </w:tc>
        <w:tc>
          <w:tcPr>
            <w:tcW w:w="3211" w:type="pct"/>
            <w:tcBorders>
              <w:top w:val="single" w:color="000000" w:sz="4" w:space="0"/>
              <w:left w:val="single" w:color="000000" w:sz="4" w:space="0"/>
              <w:bottom w:val="single" w:color="000000" w:sz="4" w:space="0"/>
              <w:right w:val="single" w:color="000000" w:sz="4" w:space="0"/>
            </w:tcBorders>
            <w:vAlign w:val="center"/>
          </w:tcPr>
          <w:p w14:paraId="1709D85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 xml:space="preserve">1.用户数:不低于500人                            </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2.指纹容量：不低于500枚</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3.人脸容量：不低于500张</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4.记录容量：不低于10万条</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5.通讯方式：TCP/IP、RS485/232</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6.包含门禁卡：不低于20张</w:t>
            </w:r>
          </w:p>
        </w:tc>
        <w:tc>
          <w:tcPr>
            <w:tcW w:w="264" w:type="pct"/>
            <w:tcBorders>
              <w:top w:val="single" w:color="000000" w:sz="4" w:space="0"/>
              <w:left w:val="single" w:color="000000" w:sz="4" w:space="0"/>
              <w:bottom w:val="single" w:color="000000" w:sz="4" w:space="0"/>
              <w:right w:val="single" w:color="000000" w:sz="4" w:space="0"/>
            </w:tcBorders>
            <w:vAlign w:val="center"/>
          </w:tcPr>
          <w:p w14:paraId="4A1A455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042F707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529189E6">
            <w:pPr>
              <w:adjustRightInd/>
              <w:snapToGrid/>
              <w:spacing w:line="240" w:lineRule="auto"/>
              <w:ind w:firstLine="0" w:firstLineChars="0"/>
              <w:rPr>
                <w:rFonts w:hint="eastAsia" w:eastAsia="宋体" w:cs="宋体"/>
                <w:color w:val="000000"/>
                <w:spacing w:val="0"/>
                <w:sz w:val="20"/>
                <w:szCs w:val="20"/>
              </w:rPr>
            </w:pPr>
          </w:p>
        </w:tc>
      </w:tr>
      <w:tr w14:paraId="62202338">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628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A2ECE">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出门按钮</w:t>
            </w:r>
          </w:p>
        </w:tc>
        <w:tc>
          <w:tcPr>
            <w:tcW w:w="3211" w:type="pct"/>
            <w:tcBorders>
              <w:top w:val="single" w:color="000000" w:sz="4" w:space="0"/>
              <w:left w:val="single" w:color="000000" w:sz="4" w:space="0"/>
              <w:bottom w:val="single" w:color="000000" w:sz="4" w:space="0"/>
              <w:right w:val="single" w:color="000000" w:sz="4" w:space="0"/>
            </w:tcBorders>
            <w:vAlign w:val="center"/>
          </w:tcPr>
          <w:p w14:paraId="78F599D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1.最大静态直线拉力：280kg；</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2.使用范围：木门、防火门、金属门、玻璃门等</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3.安全类型：通电上锁、断电开锁</w:t>
            </w:r>
          </w:p>
        </w:tc>
        <w:tc>
          <w:tcPr>
            <w:tcW w:w="264" w:type="pct"/>
            <w:tcBorders>
              <w:top w:val="single" w:color="000000" w:sz="4" w:space="0"/>
              <w:left w:val="single" w:color="000000" w:sz="4" w:space="0"/>
              <w:bottom w:val="single" w:color="000000" w:sz="4" w:space="0"/>
              <w:right w:val="single" w:color="000000" w:sz="4" w:space="0"/>
            </w:tcBorders>
            <w:vAlign w:val="center"/>
          </w:tcPr>
          <w:p w14:paraId="320C969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vAlign w:val="center"/>
          </w:tcPr>
          <w:p w14:paraId="4AE6BD4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1C8A455D">
            <w:pPr>
              <w:adjustRightInd/>
              <w:snapToGrid/>
              <w:spacing w:line="240" w:lineRule="auto"/>
              <w:ind w:firstLine="0" w:firstLineChars="0"/>
              <w:rPr>
                <w:rFonts w:hint="eastAsia" w:eastAsia="宋体" w:cs="宋体"/>
                <w:color w:val="000000"/>
                <w:spacing w:val="0"/>
                <w:sz w:val="20"/>
                <w:szCs w:val="20"/>
              </w:rPr>
            </w:pPr>
          </w:p>
        </w:tc>
      </w:tr>
      <w:tr w14:paraId="316FD98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F69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9</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B69A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双门磁力锁</w:t>
            </w:r>
          </w:p>
        </w:tc>
        <w:tc>
          <w:tcPr>
            <w:tcW w:w="3211" w:type="pct"/>
            <w:tcBorders>
              <w:top w:val="single" w:color="000000" w:sz="4" w:space="0"/>
              <w:left w:val="single" w:color="000000" w:sz="4" w:space="0"/>
              <w:bottom w:val="single" w:color="000000" w:sz="4" w:space="0"/>
              <w:right w:val="single" w:color="000000" w:sz="4" w:space="0"/>
            </w:tcBorders>
            <w:vAlign w:val="center"/>
          </w:tcPr>
          <w:p w14:paraId="7166F736">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1.50万次机械使用寿命；</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2.适合标准86电器接线暗盒使用</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3.PC防火材料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0ACC826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把</w:t>
            </w:r>
          </w:p>
        </w:tc>
        <w:tc>
          <w:tcPr>
            <w:tcW w:w="245" w:type="pct"/>
            <w:tcBorders>
              <w:top w:val="single" w:color="000000" w:sz="4" w:space="0"/>
              <w:left w:val="single" w:color="000000" w:sz="4" w:space="0"/>
              <w:bottom w:val="single" w:color="000000" w:sz="4" w:space="0"/>
              <w:right w:val="single" w:color="000000" w:sz="4" w:space="0"/>
            </w:tcBorders>
            <w:vAlign w:val="center"/>
          </w:tcPr>
          <w:p w14:paraId="740B9DD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60ED4960">
            <w:pPr>
              <w:adjustRightInd/>
              <w:snapToGrid/>
              <w:spacing w:line="240" w:lineRule="auto"/>
              <w:ind w:firstLine="0" w:firstLineChars="0"/>
              <w:rPr>
                <w:rFonts w:hint="eastAsia" w:eastAsia="宋体" w:cs="宋体"/>
                <w:color w:val="000000"/>
                <w:spacing w:val="0"/>
                <w:sz w:val="20"/>
                <w:szCs w:val="20"/>
              </w:rPr>
            </w:pPr>
          </w:p>
        </w:tc>
      </w:tr>
      <w:tr w14:paraId="44F47E9A">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4CB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D095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门禁专用电源</w:t>
            </w:r>
          </w:p>
        </w:tc>
        <w:tc>
          <w:tcPr>
            <w:tcW w:w="3211" w:type="pct"/>
            <w:tcBorders>
              <w:top w:val="single" w:color="000000" w:sz="4" w:space="0"/>
              <w:left w:val="single" w:color="000000" w:sz="4" w:space="0"/>
              <w:bottom w:val="single" w:color="000000" w:sz="4" w:space="0"/>
              <w:right w:val="single" w:color="000000" w:sz="4" w:space="0"/>
            </w:tcBorders>
            <w:vAlign w:val="center"/>
          </w:tcPr>
          <w:p w14:paraId="3AA3634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1.名称：门禁电源箱</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2.规格：12V5A</w:t>
            </w:r>
          </w:p>
        </w:tc>
        <w:tc>
          <w:tcPr>
            <w:tcW w:w="264" w:type="pct"/>
            <w:tcBorders>
              <w:top w:val="single" w:color="000000" w:sz="4" w:space="0"/>
              <w:left w:val="single" w:color="000000" w:sz="4" w:space="0"/>
              <w:bottom w:val="single" w:color="000000" w:sz="4" w:space="0"/>
              <w:right w:val="single" w:color="000000" w:sz="4" w:space="0"/>
            </w:tcBorders>
            <w:vAlign w:val="center"/>
          </w:tcPr>
          <w:p w14:paraId="777CABE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3E7BA67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5FDAF5D2">
            <w:pPr>
              <w:adjustRightInd/>
              <w:snapToGrid/>
              <w:spacing w:line="240" w:lineRule="auto"/>
              <w:ind w:firstLine="0" w:firstLineChars="0"/>
              <w:rPr>
                <w:rFonts w:hint="eastAsia" w:eastAsia="宋体" w:cs="宋体"/>
                <w:color w:val="000000"/>
                <w:spacing w:val="0"/>
                <w:sz w:val="20"/>
                <w:szCs w:val="20"/>
              </w:rPr>
            </w:pPr>
          </w:p>
        </w:tc>
      </w:tr>
      <w:tr w14:paraId="08994434">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313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11</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B7CC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门禁远程监控接口</w:t>
            </w:r>
          </w:p>
        </w:tc>
        <w:tc>
          <w:tcPr>
            <w:tcW w:w="3211" w:type="pct"/>
            <w:tcBorders>
              <w:top w:val="single" w:color="000000" w:sz="4" w:space="0"/>
              <w:left w:val="single" w:color="000000" w:sz="4" w:space="0"/>
              <w:bottom w:val="single" w:color="000000" w:sz="4" w:space="0"/>
              <w:right w:val="single" w:color="000000" w:sz="4" w:space="0"/>
            </w:tcBorders>
            <w:vAlign w:val="center"/>
          </w:tcPr>
          <w:p w14:paraId="0DE68BCD">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1.集成门禁数据</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2.实时显示门禁状态以及进出门记录</w:t>
            </w:r>
          </w:p>
        </w:tc>
        <w:tc>
          <w:tcPr>
            <w:tcW w:w="264" w:type="pct"/>
            <w:tcBorders>
              <w:top w:val="single" w:color="000000" w:sz="4" w:space="0"/>
              <w:left w:val="single" w:color="000000" w:sz="4" w:space="0"/>
              <w:bottom w:val="single" w:color="000000" w:sz="4" w:space="0"/>
              <w:right w:val="single" w:color="000000" w:sz="4" w:space="0"/>
            </w:tcBorders>
            <w:vAlign w:val="center"/>
          </w:tcPr>
          <w:p w14:paraId="4C67BEE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vAlign w:val="center"/>
          </w:tcPr>
          <w:p w14:paraId="3BC5456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23BC03B9">
            <w:pPr>
              <w:adjustRightInd/>
              <w:snapToGrid/>
              <w:spacing w:line="240" w:lineRule="auto"/>
              <w:ind w:firstLine="0" w:firstLineChars="0"/>
              <w:rPr>
                <w:rFonts w:hint="eastAsia" w:eastAsia="宋体" w:cs="宋体"/>
                <w:color w:val="000000"/>
                <w:spacing w:val="0"/>
                <w:sz w:val="20"/>
                <w:szCs w:val="20"/>
              </w:rPr>
            </w:pPr>
          </w:p>
        </w:tc>
      </w:tr>
      <w:tr w14:paraId="2F4BE414">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D68B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12</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2DA0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网络半球</w:t>
            </w:r>
          </w:p>
        </w:tc>
        <w:tc>
          <w:tcPr>
            <w:tcW w:w="3211" w:type="pct"/>
            <w:tcBorders>
              <w:top w:val="single" w:color="000000" w:sz="4" w:space="0"/>
              <w:left w:val="single" w:color="000000" w:sz="4" w:space="0"/>
              <w:bottom w:val="single" w:color="000000" w:sz="4" w:space="0"/>
              <w:right w:val="single" w:color="000000" w:sz="4" w:space="0"/>
            </w:tcBorders>
            <w:vAlign w:val="center"/>
          </w:tcPr>
          <w:p w14:paraId="0811CE7E">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1.≥1080P分辨率</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2.支持Smart265编码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3.POE供电</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 ≥30米红外夜视</w:t>
            </w:r>
          </w:p>
        </w:tc>
        <w:tc>
          <w:tcPr>
            <w:tcW w:w="264" w:type="pct"/>
            <w:tcBorders>
              <w:top w:val="single" w:color="000000" w:sz="4" w:space="0"/>
              <w:left w:val="single" w:color="000000" w:sz="4" w:space="0"/>
              <w:bottom w:val="single" w:color="000000" w:sz="4" w:space="0"/>
              <w:right w:val="single" w:color="000000" w:sz="4" w:space="0"/>
            </w:tcBorders>
            <w:vAlign w:val="center"/>
          </w:tcPr>
          <w:p w14:paraId="454E54D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7BFF8B5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57251C2E">
            <w:pPr>
              <w:adjustRightInd/>
              <w:snapToGrid/>
              <w:spacing w:line="240" w:lineRule="auto"/>
              <w:ind w:firstLine="0" w:firstLineChars="0"/>
              <w:rPr>
                <w:rFonts w:hint="eastAsia" w:eastAsia="宋体" w:cs="宋体"/>
                <w:color w:val="000000"/>
                <w:spacing w:val="0"/>
                <w:sz w:val="20"/>
                <w:szCs w:val="20"/>
              </w:rPr>
            </w:pPr>
          </w:p>
        </w:tc>
      </w:tr>
      <w:tr w14:paraId="68FA1583">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39F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13</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7682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硬盘录像机</w:t>
            </w:r>
          </w:p>
        </w:tc>
        <w:tc>
          <w:tcPr>
            <w:tcW w:w="3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64FD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1.规格：通用型1盘位录像机6路1080P解码(可增强至8路1080P) | 满接4MP | 最大支持8TB</w:t>
            </w:r>
          </w:p>
        </w:tc>
        <w:tc>
          <w:tcPr>
            <w:tcW w:w="264" w:type="pct"/>
            <w:tcBorders>
              <w:top w:val="single" w:color="000000" w:sz="4" w:space="0"/>
              <w:left w:val="single" w:color="000000" w:sz="4" w:space="0"/>
              <w:bottom w:val="single" w:color="000000" w:sz="4" w:space="0"/>
              <w:right w:val="single" w:color="000000" w:sz="4" w:space="0"/>
            </w:tcBorders>
            <w:vAlign w:val="center"/>
          </w:tcPr>
          <w:p w14:paraId="333E8A6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2413367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4741E2AD">
            <w:pPr>
              <w:adjustRightInd/>
              <w:snapToGrid/>
              <w:spacing w:line="240" w:lineRule="auto"/>
              <w:ind w:firstLine="0" w:firstLineChars="0"/>
              <w:rPr>
                <w:rFonts w:hint="eastAsia" w:eastAsia="宋体" w:cs="宋体"/>
                <w:color w:val="000000"/>
                <w:spacing w:val="0"/>
                <w:sz w:val="20"/>
                <w:szCs w:val="20"/>
              </w:rPr>
            </w:pPr>
          </w:p>
        </w:tc>
      </w:tr>
      <w:tr w14:paraId="4F20D81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6EC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14</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A749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监控硬盘</w:t>
            </w:r>
          </w:p>
        </w:tc>
        <w:tc>
          <w:tcPr>
            <w:tcW w:w="3211" w:type="pct"/>
            <w:tcBorders>
              <w:top w:val="single" w:color="000000" w:sz="4" w:space="0"/>
              <w:left w:val="single" w:color="000000" w:sz="4" w:space="0"/>
              <w:bottom w:val="single" w:color="000000" w:sz="4" w:space="0"/>
              <w:right w:val="single" w:color="000000" w:sz="4" w:space="0"/>
            </w:tcBorders>
            <w:vAlign w:val="center"/>
          </w:tcPr>
          <w:p w14:paraId="5C169CF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1.规格：8TB监控专用硬盘</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2.技术要求：存储时间6个月</w:t>
            </w:r>
          </w:p>
        </w:tc>
        <w:tc>
          <w:tcPr>
            <w:tcW w:w="264" w:type="pct"/>
            <w:tcBorders>
              <w:top w:val="single" w:color="000000" w:sz="4" w:space="0"/>
              <w:left w:val="single" w:color="000000" w:sz="4" w:space="0"/>
              <w:bottom w:val="single" w:color="000000" w:sz="4" w:space="0"/>
              <w:right w:val="single" w:color="000000" w:sz="4" w:space="0"/>
            </w:tcBorders>
            <w:vAlign w:val="center"/>
          </w:tcPr>
          <w:p w14:paraId="25EC48F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块</w:t>
            </w:r>
          </w:p>
        </w:tc>
        <w:tc>
          <w:tcPr>
            <w:tcW w:w="245" w:type="pct"/>
            <w:tcBorders>
              <w:top w:val="single" w:color="000000" w:sz="4" w:space="0"/>
              <w:left w:val="single" w:color="000000" w:sz="4" w:space="0"/>
              <w:bottom w:val="single" w:color="000000" w:sz="4" w:space="0"/>
              <w:right w:val="single" w:color="000000" w:sz="4" w:space="0"/>
            </w:tcBorders>
            <w:vAlign w:val="center"/>
          </w:tcPr>
          <w:p w14:paraId="0FF7F0B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624E94B4">
            <w:pPr>
              <w:adjustRightInd/>
              <w:snapToGrid/>
              <w:spacing w:line="240" w:lineRule="auto"/>
              <w:ind w:firstLine="0" w:firstLineChars="0"/>
              <w:rPr>
                <w:rFonts w:hint="eastAsia" w:eastAsia="宋体" w:cs="宋体"/>
                <w:color w:val="000000"/>
                <w:spacing w:val="0"/>
                <w:sz w:val="20"/>
                <w:szCs w:val="20"/>
              </w:rPr>
            </w:pPr>
          </w:p>
        </w:tc>
      </w:tr>
      <w:tr w14:paraId="6BFA613F">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1A3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6D355">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视频远程监控接口</w:t>
            </w:r>
          </w:p>
        </w:tc>
        <w:tc>
          <w:tcPr>
            <w:tcW w:w="3211" w:type="pct"/>
            <w:tcBorders>
              <w:top w:val="single" w:color="000000" w:sz="4" w:space="0"/>
              <w:left w:val="single" w:color="000000" w:sz="4" w:space="0"/>
              <w:bottom w:val="single" w:color="000000" w:sz="4" w:space="0"/>
              <w:right w:val="single" w:color="000000" w:sz="4" w:space="0"/>
            </w:tcBorders>
            <w:vAlign w:val="center"/>
          </w:tcPr>
          <w:p w14:paraId="64AE4E7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1.技术要求：动环系统内嵌入视频监控画面，可浏览实时监控画面，以及回放录像。</w:t>
            </w:r>
          </w:p>
        </w:tc>
        <w:tc>
          <w:tcPr>
            <w:tcW w:w="264" w:type="pct"/>
            <w:tcBorders>
              <w:top w:val="single" w:color="000000" w:sz="4" w:space="0"/>
              <w:left w:val="single" w:color="000000" w:sz="4" w:space="0"/>
              <w:bottom w:val="single" w:color="000000" w:sz="4" w:space="0"/>
              <w:right w:val="single" w:color="000000" w:sz="4" w:space="0"/>
            </w:tcBorders>
            <w:vAlign w:val="center"/>
          </w:tcPr>
          <w:p w14:paraId="1634835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套</w:t>
            </w:r>
          </w:p>
        </w:tc>
        <w:tc>
          <w:tcPr>
            <w:tcW w:w="245" w:type="pct"/>
            <w:tcBorders>
              <w:top w:val="single" w:color="000000" w:sz="4" w:space="0"/>
              <w:left w:val="single" w:color="000000" w:sz="4" w:space="0"/>
              <w:bottom w:val="single" w:color="000000" w:sz="4" w:space="0"/>
              <w:right w:val="single" w:color="000000" w:sz="4" w:space="0"/>
            </w:tcBorders>
            <w:vAlign w:val="center"/>
          </w:tcPr>
          <w:p w14:paraId="23C0568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6A4C1840">
            <w:pPr>
              <w:adjustRightInd/>
              <w:snapToGrid/>
              <w:spacing w:line="240" w:lineRule="auto"/>
              <w:ind w:firstLine="0" w:firstLineChars="0"/>
              <w:rPr>
                <w:rFonts w:hint="eastAsia" w:eastAsia="宋体" w:cs="宋体"/>
                <w:color w:val="000000"/>
                <w:spacing w:val="0"/>
                <w:sz w:val="20"/>
                <w:szCs w:val="20"/>
              </w:rPr>
            </w:pPr>
          </w:p>
        </w:tc>
      </w:tr>
      <w:tr w14:paraId="76EA4683">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9BB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16</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9057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24口POE交换机</w:t>
            </w:r>
          </w:p>
        </w:tc>
        <w:tc>
          <w:tcPr>
            <w:tcW w:w="3211" w:type="pct"/>
            <w:tcBorders>
              <w:top w:val="single" w:color="000000" w:sz="4" w:space="0"/>
              <w:left w:val="single" w:color="000000" w:sz="4" w:space="0"/>
              <w:bottom w:val="single" w:color="000000" w:sz="4" w:space="0"/>
              <w:right w:val="single" w:color="000000" w:sz="4" w:space="0"/>
            </w:tcBorders>
            <w:vAlign w:val="center"/>
          </w:tcPr>
          <w:p w14:paraId="04FA3A5B">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1.24个10/100/1000Mbps自适应电口+2个10/100/1000Mbps上联光口，其中24个口支持PoE/PoE+供电</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2.最大PoE功率≥370W</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3.交换机容量≥52Gbps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4.包转发率≥38.69Mpps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5.非网管型交换机，机架式。</w:t>
            </w:r>
          </w:p>
        </w:tc>
        <w:tc>
          <w:tcPr>
            <w:tcW w:w="264" w:type="pct"/>
            <w:tcBorders>
              <w:top w:val="single" w:color="000000" w:sz="4" w:space="0"/>
              <w:left w:val="single" w:color="000000" w:sz="4" w:space="0"/>
              <w:bottom w:val="single" w:color="000000" w:sz="4" w:space="0"/>
              <w:right w:val="single" w:color="000000" w:sz="4" w:space="0"/>
            </w:tcBorders>
            <w:vAlign w:val="center"/>
          </w:tcPr>
          <w:p w14:paraId="14660CC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0253DED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534BE0E3">
            <w:pPr>
              <w:adjustRightInd/>
              <w:snapToGrid/>
              <w:spacing w:line="240" w:lineRule="auto"/>
              <w:ind w:firstLine="0" w:firstLineChars="0"/>
              <w:rPr>
                <w:rFonts w:hint="eastAsia" w:eastAsia="宋体" w:cs="宋体"/>
                <w:color w:val="000000"/>
                <w:spacing w:val="0"/>
                <w:sz w:val="20"/>
                <w:szCs w:val="20"/>
              </w:rPr>
            </w:pPr>
          </w:p>
        </w:tc>
      </w:tr>
      <w:tr w14:paraId="2F4F14FF">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53C9B2F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17</w:t>
            </w:r>
          </w:p>
        </w:tc>
        <w:tc>
          <w:tcPr>
            <w:tcW w:w="559" w:type="pct"/>
            <w:tcBorders>
              <w:top w:val="single" w:color="000000" w:sz="4" w:space="0"/>
              <w:left w:val="single" w:color="000000" w:sz="4" w:space="0"/>
              <w:bottom w:val="single" w:color="000000" w:sz="4" w:space="0"/>
              <w:right w:val="single" w:color="000000" w:sz="4" w:space="0"/>
            </w:tcBorders>
            <w:vAlign w:val="center"/>
          </w:tcPr>
          <w:p w14:paraId="31A2938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网线</w:t>
            </w:r>
          </w:p>
        </w:tc>
        <w:tc>
          <w:tcPr>
            <w:tcW w:w="3211" w:type="pct"/>
            <w:tcBorders>
              <w:top w:val="single" w:color="000000" w:sz="4" w:space="0"/>
              <w:left w:val="single" w:color="000000" w:sz="4" w:space="0"/>
              <w:bottom w:val="single" w:color="000000" w:sz="4" w:space="0"/>
              <w:right w:val="single" w:color="000000" w:sz="4" w:space="0"/>
            </w:tcBorders>
            <w:vAlign w:val="center"/>
          </w:tcPr>
          <w:p w14:paraId="552F3CA4">
            <w:pPr>
              <w:widowControl/>
              <w:adjustRightInd/>
              <w:snapToGrid/>
              <w:spacing w:line="240" w:lineRule="auto"/>
              <w:ind w:firstLine="0" w:firstLineChars="0"/>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技术参数：</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1.导体：实心无氧铜（铜芯线径≥0.57mm）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2.绝缘层：高密度聚乙烯（HDPE）</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3.外护套：聚氯乙烯（PVC）厚度：0.55mm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4.线缆结构：4对8芯双绞线,每对之间采用十字骨架隔离,每芯均有颜色区分,外皮印有厂商标识及电缆编码，有撕裂绳，线缆外径≥6.3mm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5.标准：传输性能参数满足ISO/IEC 11801 E类标准和TIA/EIA 568.2-D六类标准；性能指标优于现行六类线缆250MHz，支持1G Base-T, 622M ATM 等高带宽应用</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6.运行温度：-25至60°C</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7.最大电容：≤5.6nF/100m</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8.特性阻抗：(f：1-155MHz)100±15Ω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1.提供原厂三年质保服务。2.提供技术参数及功能的证明材料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3.质量标准：提供符合GB/T 18380.12标准阻燃检测报告、提供泰尔实验室出具的单体性能检测报告、提供具有CMA、CNAS、ilac-MRA认可的检测机构检测的信道测试报告和链路测试报告</w:t>
            </w:r>
          </w:p>
        </w:tc>
        <w:tc>
          <w:tcPr>
            <w:tcW w:w="264" w:type="pct"/>
            <w:tcBorders>
              <w:top w:val="single" w:color="000000" w:sz="4" w:space="0"/>
              <w:left w:val="single" w:color="000000" w:sz="4" w:space="0"/>
              <w:bottom w:val="single" w:color="000000" w:sz="4" w:space="0"/>
              <w:right w:val="single" w:color="000000" w:sz="4" w:space="0"/>
            </w:tcBorders>
            <w:vAlign w:val="center"/>
          </w:tcPr>
          <w:p w14:paraId="77ADA9F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箱</w:t>
            </w:r>
          </w:p>
        </w:tc>
        <w:tc>
          <w:tcPr>
            <w:tcW w:w="245" w:type="pct"/>
            <w:tcBorders>
              <w:top w:val="single" w:color="000000" w:sz="4" w:space="0"/>
              <w:left w:val="single" w:color="000000" w:sz="4" w:space="0"/>
              <w:bottom w:val="single" w:color="000000" w:sz="4" w:space="0"/>
              <w:right w:val="single" w:color="000000" w:sz="4" w:space="0"/>
            </w:tcBorders>
            <w:vAlign w:val="center"/>
          </w:tcPr>
          <w:p w14:paraId="6F62B7B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3BC74FC0">
            <w:pPr>
              <w:adjustRightInd/>
              <w:snapToGrid/>
              <w:spacing w:line="240" w:lineRule="auto"/>
              <w:ind w:firstLine="0" w:firstLineChars="0"/>
              <w:rPr>
                <w:rFonts w:hint="eastAsia" w:eastAsia="宋体" w:cs="宋体"/>
                <w:color w:val="000000"/>
                <w:spacing w:val="0"/>
                <w:sz w:val="20"/>
                <w:szCs w:val="20"/>
              </w:rPr>
            </w:pPr>
          </w:p>
        </w:tc>
      </w:tr>
      <w:tr w14:paraId="412AAA01">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20AFC9B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18</w:t>
            </w:r>
          </w:p>
        </w:tc>
        <w:tc>
          <w:tcPr>
            <w:tcW w:w="559" w:type="pct"/>
            <w:tcBorders>
              <w:top w:val="single" w:color="000000" w:sz="4" w:space="0"/>
              <w:left w:val="single" w:color="000000" w:sz="4" w:space="0"/>
              <w:bottom w:val="single" w:color="000000" w:sz="4" w:space="0"/>
              <w:right w:val="single" w:color="000000" w:sz="4" w:space="0"/>
            </w:tcBorders>
            <w:vAlign w:val="center"/>
          </w:tcPr>
          <w:p w14:paraId="7F092D3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电源线</w:t>
            </w:r>
          </w:p>
        </w:tc>
        <w:tc>
          <w:tcPr>
            <w:tcW w:w="3211" w:type="pct"/>
            <w:tcBorders>
              <w:top w:val="single" w:color="000000" w:sz="4" w:space="0"/>
              <w:left w:val="single" w:color="000000" w:sz="4" w:space="0"/>
              <w:bottom w:val="single" w:color="000000" w:sz="4" w:space="0"/>
              <w:right w:val="single" w:color="000000" w:sz="4" w:space="0"/>
            </w:tcBorders>
            <w:vAlign w:val="center"/>
          </w:tcPr>
          <w:p w14:paraId="50286F2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1.规格：RVV2*1</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2.技术要求：国标</w:t>
            </w:r>
          </w:p>
        </w:tc>
        <w:tc>
          <w:tcPr>
            <w:tcW w:w="264" w:type="pct"/>
            <w:tcBorders>
              <w:top w:val="single" w:color="000000" w:sz="4" w:space="0"/>
              <w:left w:val="single" w:color="000000" w:sz="4" w:space="0"/>
              <w:bottom w:val="single" w:color="000000" w:sz="4" w:space="0"/>
              <w:right w:val="single" w:color="000000" w:sz="4" w:space="0"/>
            </w:tcBorders>
            <w:vAlign w:val="center"/>
          </w:tcPr>
          <w:p w14:paraId="5154418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vAlign w:val="center"/>
          </w:tcPr>
          <w:p w14:paraId="6A821C9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15</w:t>
            </w:r>
          </w:p>
        </w:tc>
        <w:tc>
          <w:tcPr>
            <w:tcW w:w="487" w:type="pct"/>
            <w:tcBorders>
              <w:top w:val="single" w:color="000000" w:sz="4" w:space="0"/>
              <w:left w:val="single" w:color="000000" w:sz="4" w:space="0"/>
              <w:bottom w:val="single" w:color="000000" w:sz="4" w:space="0"/>
              <w:right w:val="single" w:color="000000" w:sz="4" w:space="0"/>
            </w:tcBorders>
            <w:vAlign w:val="center"/>
          </w:tcPr>
          <w:p w14:paraId="054BCC39">
            <w:pPr>
              <w:adjustRightInd/>
              <w:snapToGrid/>
              <w:spacing w:line="240" w:lineRule="auto"/>
              <w:ind w:firstLine="0" w:firstLineChars="0"/>
              <w:rPr>
                <w:rFonts w:hint="eastAsia" w:eastAsia="宋体" w:cs="宋体"/>
                <w:color w:val="000000"/>
                <w:spacing w:val="0"/>
                <w:sz w:val="20"/>
                <w:szCs w:val="20"/>
              </w:rPr>
            </w:pPr>
          </w:p>
        </w:tc>
      </w:tr>
      <w:tr w14:paraId="5AFBC4B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92D721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19</w:t>
            </w:r>
          </w:p>
        </w:tc>
        <w:tc>
          <w:tcPr>
            <w:tcW w:w="559" w:type="pct"/>
            <w:tcBorders>
              <w:top w:val="single" w:color="000000" w:sz="4" w:space="0"/>
              <w:left w:val="single" w:color="000000" w:sz="4" w:space="0"/>
              <w:bottom w:val="single" w:color="000000" w:sz="4" w:space="0"/>
              <w:right w:val="single" w:color="000000" w:sz="4" w:space="0"/>
            </w:tcBorders>
            <w:vAlign w:val="center"/>
          </w:tcPr>
          <w:p w14:paraId="2E8E4DCB">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管材</w:t>
            </w:r>
          </w:p>
        </w:tc>
        <w:tc>
          <w:tcPr>
            <w:tcW w:w="3211" w:type="pct"/>
            <w:tcBorders>
              <w:top w:val="single" w:color="000000" w:sz="4" w:space="0"/>
              <w:left w:val="single" w:color="000000" w:sz="4" w:space="0"/>
              <w:bottom w:val="single" w:color="000000" w:sz="4" w:space="0"/>
              <w:right w:val="single" w:color="000000" w:sz="4" w:space="0"/>
            </w:tcBorders>
            <w:vAlign w:val="center"/>
          </w:tcPr>
          <w:p w14:paraId="4AFBB59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1.规格：PVC20，PVC25，PVC32等各种管件</w:t>
            </w:r>
          </w:p>
        </w:tc>
        <w:tc>
          <w:tcPr>
            <w:tcW w:w="264" w:type="pct"/>
            <w:tcBorders>
              <w:top w:val="single" w:color="000000" w:sz="4" w:space="0"/>
              <w:left w:val="single" w:color="000000" w:sz="4" w:space="0"/>
              <w:bottom w:val="single" w:color="000000" w:sz="4" w:space="0"/>
              <w:right w:val="single" w:color="000000" w:sz="4" w:space="0"/>
            </w:tcBorders>
            <w:vAlign w:val="center"/>
          </w:tcPr>
          <w:p w14:paraId="76F27A6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批</w:t>
            </w:r>
          </w:p>
        </w:tc>
        <w:tc>
          <w:tcPr>
            <w:tcW w:w="245" w:type="pct"/>
            <w:tcBorders>
              <w:top w:val="single" w:color="000000" w:sz="4" w:space="0"/>
              <w:left w:val="single" w:color="000000" w:sz="4" w:space="0"/>
              <w:bottom w:val="single" w:color="000000" w:sz="4" w:space="0"/>
              <w:right w:val="single" w:color="000000" w:sz="4" w:space="0"/>
            </w:tcBorders>
            <w:vAlign w:val="center"/>
          </w:tcPr>
          <w:p w14:paraId="25C3A37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4AF90DF8">
            <w:pPr>
              <w:adjustRightInd/>
              <w:snapToGrid/>
              <w:spacing w:line="240" w:lineRule="auto"/>
              <w:ind w:firstLine="0" w:firstLineChars="0"/>
              <w:rPr>
                <w:rFonts w:hint="eastAsia" w:eastAsia="宋体" w:cs="宋体"/>
                <w:color w:val="000000"/>
                <w:spacing w:val="0"/>
                <w:sz w:val="20"/>
                <w:szCs w:val="20"/>
              </w:rPr>
            </w:pPr>
          </w:p>
        </w:tc>
      </w:tr>
      <w:tr w14:paraId="3B30024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7D0C019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20</w:t>
            </w:r>
          </w:p>
        </w:tc>
        <w:tc>
          <w:tcPr>
            <w:tcW w:w="559" w:type="pct"/>
            <w:tcBorders>
              <w:top w:val="single" w:color="000000" w:sz="4" w:space="0"/>
              <w:left w:val="nil"/>
              <w:bottom w:val="single" w:color="000000" w:sz="4" w:space="0"/>
              <w:right w:val="nil"/>
            </w:tcBorders>
            <w:vAlign w:val="center"/>
          </w:tcPr>
          <w:p w14:paraId="2876DDA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安装调试费</w:t>
            </w:r>
          </w:p>
        </w:tc>
        <w:tc>
          <w:tcPr>
            <w:tcW w:w="3211" w:type="pct"/>
            <w:tcBorders>
              <w:top w:val="single" w:color="000000" w:sz="4" w:space="0"/>
              <w:left w:val="single" w:color="000000" w:sz="4" w:space="0"/>
              <w:bottom w:val="single" w:color="000000" w:sz="4" w:space="0"/>
              <w:right w:val="single" w:color="000000" w:sz="4" w:space="0"/>
            </w:tcBorders>
            <w:vAlign w:val="center"/>
          </w:tcPr>
          <w:p w14:paraId="14D142A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技术要求：</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1.动环设备安装、监控设备安装、门禁设备安装</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2.布线</w:t>
            </w:r>
          </w:p>
        </w:tc>
        <w:tc>
          <w:tcPr>
            <w:tcW w:w="264" w:type="pct"/>
            <w:tcBorders>
              <w:top w:val="single" w:color="000000" w:sz="4" w:space="0"/>
              <w:left w:val="single" w:color="000000" w:sz="4" w:space="0"/>
              <w:bottom w:val="single" w:color="000000" w:sz="4" w:space="0"/>
              <w:right w:val="single" w:color="000000" w:sz="4" w:space="0"/>
            </w:tcBorders>
            <w:vAlign w:val="center"/>
          </w:tcPr>
          <w:p w14:paraId="21FA363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vAlign w:val="center"/>
          </w:tcPr>
          <w:p w14:paraId="1AA9928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56CB74B8">
            <w:pPr>
              <w:adjustRightInd/>
              <w:snapToGrid/>
              <w:spacing w:line="240" w:lineRule="auto"/>
              <w:ind w:firstLine="0" w:firstLineChars="0"/>
              <w:rPr>
                <w:rFonts w:hint="eastAsia" w:eastAsia="宋体" w:cs="宋体"/>
                <w:color w:val="000000"/>
                <w:spacing w:val="0"/>
                <w:sz w:val="20"/>
                <w:szCs w:val="20"/>
              </w:rPr>
            </w:pPr>
          </w:p>
        </w:tc>
      </w:tr>
      <w:tr w14:paraId="0F70A3F9">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15EE649">
            <w:pPr>
              <w:adjustRightInd/>
              <w:snapToGrid/>
              <w:spacing w:line="240" w:lineRule="auto"/>
              <w:ind w:firstLine="0" w:firstLineChars="0"/>
              <w:jc w:val="left"/>
              <w:rPr>
                <w:rFonts w:hint="eastAsia" w:eastAsia="宋体" w:cs="宋体"/>
                <w:color w:val="000000"/>
                <w:spacing w:val="0"/>
                <w:sz w:val="20"/>
                <w:szCs w:val="20"/>
              </w:rPr>
            </w:pPr>
            <w:r>
              <w:rPr>
                <w:rFonts w:hint="eastAsia" w:eastAsia="宋体" w:cs="宋体"/>
                <w:b/>
                <w:bCs/>
                <w:color w:val="000000"/>
                <w:spacing w:val="0"/>
                <w:kern w:val="0"/>
                <w:sz w:val="20"/>
                <w:szCs w:val="20"/>
                <w:lang w:bidi="ar"/>
              </w:rPr>
              <w:t>五、信息网络及网络安全系统</w:t>
            </w:r>
          </w:p>
        </w:tc>
      </w:tr>
      <w:tr w14:paraId="7A17A02F">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A69952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559" w:type="pct"/>
            <w:tcBorders>
              <w:top w:val="single" w:color="000000" w:sz="4" w:space="0"/>
              <w:left w:val="single" w:color="000000" w:sz="4" w:space="0"/>
              <w:bottom w:val="single" w:color="000000" w:sz="4" w:space="0"/>
              <w:right w:val="single" w:color="000000" w:sz="4" w:space="0"/>
            </w:tcBorders>
            <w:vAlign w:val="center"/>
          </w:tcPr>
          <w:p w14:paraId="6F06DEE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防火墙主机</w:t>
            </w:r>
          </w:p>
        </w:tc>
        <w:tc>
          <w:tcPr>
            <w:tcW w:w="3211" w:type="pct"/>
            <w:vMerge w:val="restart"/>
            <w:tcBorders>
              <w:top w:val="single" w:color="000000" w:sz="4" w:space="0"/>
              <w:left w:val="single" w:color="000000" w:sz="4" w:space="0"/>
              <w:bottom w:val="single" w:color="000000" w:sz="4" w:space="0"/>
              <w:right w:val="single" w:color="000000" w:sz="4" w:space="0"/>
            </w:tcBorders>
            <w:vAlign w:val="center"/>
          </w:tcPr>
          <w:p w14:paraId="57BDE858">
            <w:pPr>
              <w:widowControl/>
              <w:numPr>
                <w:ilvl w:val="0"/>
                <w:numId w:val="3"/>
              </w:numPr>
              <w:adjustRightInd/>
              <w:snapToGrid/>
              <w:spacing w:line="240" w:lineRule="auto"/>
              <w:ind w:firstLine="0" w:firstLineChars="0"/>
              <w:jc w:val="left"/>
              <w:textAlignment w:val="center"/>
              <w:rPr>
                <w:rFonts w:hint="eastAsia" w:eastAsia="宋体" w:cs="宋体"/>
                <w:color w:val="000000"/>
                <w:spacing w:val="0"/>
                <w:kern w:val="0"/>
                <w:sz w:val="20"/>
                <w:szCs w:val="20"/>
                <w:highlight w:val="none"/>
                <w:lang w:bidi="ar"/>
              </w:rPr>
            </w:pPr>
            <w:r>
              <w:rPr>
                <w:rFonts w:hint="eastAsia" w:eastAsia="宋体" w:cs="宋体"/>
                <w:color w:val="000000"/>
                <w:spacing w:val="0"/>
                <w:kern w:val="0"/>
                <w:sz w:val="20"/>
                <w:szCs w:val="20"/>
                <w:highlight w:val="none"/>
                <w:lang w:bidi="ar"/>
              </w:rPr>
              <w:t>千兆电口数量≥8个，千兆光口数量≥2个，万兆光口数量≥4个，业务扩展插槽≥2个（可扩展4万兆光口、4千兆光4千兆电接口卡），最大支持≥16个千兆电口，最大支持≥10个千兆光口或12个万兆光口。</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2.硬盘插槽≥1个，配置可插拔1T企业级硬盘≥1个，支持并配置模块化电源≥2个（1+1电源冗余）。</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3.三层网络吞吐≥3Gbps ，IPS吞吐量≥1.5Gbps，每秒新建连接≥3万。支持通过软件授权，灵活扩展网络吞吐量性能，提供生产厂家官网链接及截图；网络吞吐性能通过扩充可达到≥10Gbps。</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4.支持路由模式、透明模式、混合模式，支持快速上线向导功能，指导配置人员完成快速入网、模式选择、网络配置、连通性检查、授权导入等必要上线步骤；</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5.IPS规则数量≥5500条，可针对具体的规则条目设置启用和禁用，具有IPS入侵检测预定义模板，用户可设置新的签名过滤器，来自定义新的IPS入侵检测防御模板，支持SYN、UDP、ICMP等洪水型DoS/DDoS攻击防护，支持TearDrop、Smurf、LAND、Winnuke、Fraggle等基于数据包的攻击防护，支持带源路由选项IP报文控制功能、支持带路由选项IP报文控制功能；支持ARP欺骗防御功能，支持自定义设置网关MAC广播间隔时间。</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6.支持自动扫描用户网内资产，自动识别资产端口和服务启用情况，结合用户资产信息生成推荐的安全防护策略，提供产品功能界面截图。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7.支持基于流量学习的方式对网内资产的互访关系进行梳理，可视化展示目标资产的端口的访问关系，包括：访问源IP、命中策略、阻断次数、最近一次阻断时间等信息，提供产品功能界面截图。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8.精确识别网络应用，包括但不限于HTTP协议、IP网络电话、网络游戏软件、网络购物、P2P应用软件、互联网金融、即时通讯、远程控制等，具备完善的应用库，应用数量≥3400种。</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9.支持策略配置向导功能，运维人员可通过向导流程完成地址对象创建、策略创建、策略模拟运行、策略执行等必要配置步骤，提供产品功能界面截图。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10.支持策略模拟功能，可提供一个虚拟的策略空间来对运行创建的模拟策略，模拟策略不会对真实业务流量产生影响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提供产品功能界面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11.具备策略优化能力，支持对配置的策略进行梳理，能够识别策略问题，问题类型包括但不限于一般问题、严重问题、建议优化等。分析维度包括但不限于从未匹配、7天未匹配、30天未匹配、90天未匹配、冲突策略、组合策略、归纳策略、影子策略等，对问题策略支持列表展示，并提供优化建议。</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12.支持策略的全生命周期展现，包括策略的变更时间、变更类型、变更账号、变更策略、变更内容等；支持通过颜色区分策略的变更项、删除、新增等；支持策略项变更前后的对比展示，提供产品功能界面截图。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13.支持策略进入模拟空间，可对无把握的安全策略先在策略模拟空间进行试运行，看看对应流量是否有符合预期。（提供生产厂家官网链接及截图）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14.支持整体呈现内对内、内对外、外对内的攻击统计，图示化呈现攻击的方向和区域，可选级别、刷新频率、周期、攻击类型；TOP攻击源、被攻击主机、新增攻击源、新增攻击端口、攻击趋势图等。</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15.支持系统日志、安全日志（攻击防护日志）、操作日志（登录、策略变更等）等不同分类日志的留存，可查询和导出日志；支持根据源地址、目的地址、源端口、目的端口、日志类型、严重性、动作等条件进行日志查询，支持呈现各个接口流量趋势图，支持实时、最近1天，最近1周的查看范围；呈现各接口的流量详细信息，支持报表导出，支持自定义外发系统日志、安全日志等，支持同时将日志发给多个syslog服务器，支持CPU、内存使用趋势监控，可选择实时、最近1天、最近1周的显示周期。</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16.支持自定义设置登录端口、登录超时时间、登录错误允许次数、锁定时间，开启、关闭验证码功能，支持恢复默认配置，支持一键收集本机上所有信息，并提供打包下载，用于故障定位，提供产品功能界面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17.支持通过手动输入和扫描二维码两种方式将设备添加到云平台进行管理，可实现把防火墙的系统状态在云平台进行监控和展示，用户可通过登录各自的云平台账号后对纳管的防火墙进行远程策略下发，策略查看和安全事件分析等，基于首页设备图示，实现鼠标移动到相应接口，即可显示接口的加电状态、接口类型、接口IP和上下行速率等，提供产品功能界面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18.可实现对策略进行增、删、改的操作，可在模拟空间中，匹配真实流量，分析策略调整前后流量匹配命中的差异，并据此调整策略直至满意，保证业务不中断也能调策略，降低策略调整的风险，并能实现精细化策略调整。（提供生产厂家官网链接及截图）</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19.配置要求：配置提供病毒库升级功能授权≥3年、入侵防御特征库升级功能≥3年、 URL特征库升级功能≥3年、应用识别特征库升级功能≥3年、威胁情报特征库升级功能授权≥3年。</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质量保证：</w:t>
            </w:r>
            <w:r>
              <w:rPr>
                <w:rFonts w:hint="eastAsia" w:eastAsia="宋体" w:cs="宋体"/>
                <w:color w:val="000000"/>
                <w:spacing w:val="0"/>
                <w:kern w:val="0"/>
                <w:sz w:val="20"/>
                <w:szCs w:val="20"/>
                <w:highlight w:val="none"/>
                <w:lang w:bidi="ar"/>
              </w:rPr>
              <w:br w:type="textWrapping"/>
            </w:r>
            <w:r>
              <w:rPr>
                <w:rFonts w:hint="eastAsia" w:eastAsia="宋体" w:cs="宋体"/>
                <w:color w:val="000000"/>
                <w:spacing w:val="0"/>
                <w:kern w:val="0"/>
                <w:sz w:val="20"/>
                <w:szCs w:val="20"/>
                <w:highlight w:val="none"/>
                <w:lang w:bidi="ar"/>
              </w:rPr>
              <w:t>1.提供原厂三年质保服务</w:t>
            </w:r>
          </w:p>
          <w:p w14:paraId="4CAA271A">
            <w:pPr>
              <w:widowControl/>
              <w:numPr>
                <w:ilvl w:val="0"/>
                <w:numId w:val="0"/>
              </w:numPr>
              <w:adjustRightInd/>
              <w:snapToGrid/>
              <w:spacing w:line="240" w:lineRule="auto"/>
              <w:jc w:val="left"/>
              <w:textAlignment w:val="center"/>
              <w:rPr>
                <w:rFonts w:hint="eastAsia" w:eastAsia="宋体" w:cs="宋体"/>
                <w:color w:val="000000"/>
                <w:spacing w:val="0"/>
                <w:sz w:val="20"/>
                <w:szCs w:val="20"/>
                <w:highlight w:val="none"/>
              </w:rPr>
            </w:pPr>
            <w:r>
              <w:rPr>
                <w:rFonts w:hint="eastAsia" w:eastAsia="宋体" w:cs="宋体"/>
                <w:color w:val="000000"/>
                <w:spacing w:val="0"/>
                <w:kern w:val="0"/>
                <w:sz w:val="20"/>
                <w:szCs w:val="20"/>
                <w:highlight w:val="none"/>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15DEBDA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5E37541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59C5ED3E">
            <w:pPr>
              <w:adjustRightInd/>
              <w:snapToGrid/>
              <w:spacing w:line="240" w:lineRule="auto"/>
              <w:ind w:firstLine="0" w:firstLineChars="0"/>
              <w:jc w:val="left"/>
              <w:rPr>
                <w:rFonts w:hint="eastAsia" w:eastAsia="宋体" w:cs="宋体"/>
                <w:color w:val="000000"/>
                <w:spacing w:val="0"/>
                <w:sz w:val="20"/>
                <w:szCs w:val="20"/>
              </w:rPr>
            </w:pPr>
          </w:p>
        </w:tc>
      </w:tr>
      <w:tr w14:paraId="7A8699E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48C4931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559" w:type="pct"/>
            <w:tcBorders>
              <w:top w:val="single" w:color="000000" w:sz="4" w:space="0"/>
              <w:left w:val="single" w:color="000000" w:sz="4" w:space="0"/>
              <w:bottom w:val="single" w:color="000000" w:sz="4" w:space="0"/>
              <w:right w:val="single" w:color="000000" w:sz="4" w:space="0"/>
            </w:tcBorders>
            <w:vAlign w:val="center"/>
          </w:tcPr>
          <w:p w14:paraId="2A3FB6B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防火墙硬盘</w:t>
            </w:r>
          </w:p>
        </w:tc>
        <w:tc>
          <w:tcPr>
            <w:tcW w:w="3211" w:type="pct"/>
            <w:vMerge w:val="continue"/>
            <w:tcBorders>
              <w:top w:val="single" w:color="000000" w:sz="4" w:space="0"/>
              <w:left w:val="single" w:color="000000" w:sz="4" w:space="0"/>
              <w:bottom w:val="single" w:color="000000" w:sz="4" w:space="0"/>
              <w:right w:val="single" w:color="000000" w:sz="4" w:space="0"/>
            </w:tcBorders>
            <w:vAlign w:val="center"/>
          </w:tcPr>
          <w:p w14:paraId="3C89D449">
            <w:pPr>
              <w:adjustRightInd/>
              <w:snapToGrid/>
              <w:spacing w:line="240" w:lineRule="auto"/>
              <w:ind w:firstLine="0" w:firstLineChars="0"/>
              <w:jc w:val="left"/>
              <w:rPr>
                <w:rFonts w:hint="eastAsia" w:eastAsia="宋体" w:cs="宋体"/>
                <w:color w:val="000000"/>
                <w:spacing w:val="0"/>
                <w:sz w:val="20"/>
                <w:szCs w:val="20"/>
              </w:rPr>
            </w:pPr>
          </w:p>
        </w:tc>
        <w:tc>
          <w:tcPr>
            <w:tcW w:w="264" w:type="pct"/>
            <w:tcBorders>
              <w:top w:val="single" w:color="000000" w:sz="4" w:space="0"/>
              <w:left w:val="single" w:color="000000" w:sz="4" w:space="0"/>
              <w:bottom w:val="single" w:color="000000" w:sz="4" w:space="0"/>
              <w:right w:val="single" w:color="000000" w:sz="4" w:space="0"/>
            </w:tcBorders>
            <w:vAlign w:val="center"/>
          </w:tcPr>
          <w:p w14:paraId="364DC70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块</w:t>
            </w:r>
          </w:p>
        </w:tc>
        <w:tc>
          <w:tcPr>
            <w:tcW w:w="245" w:type="pct"/>
            <w:tcBorders>
              <w:top w:val="single" w:color="000000" w:sz="4" w:space="0"/>
              <w:left w:val="single" w:color="000000" w:sz="4" w:space="0"/>
              <w:bottom w:val="single" w:color="000000" w:sz="4" w:space="0"/>
              <w:right w:val="single" w:color="000000" w:sz="4" w:space="0"/>
            </w:tcBorders>
            <w:vAlign w:val="center"/>
          </w:tcPr>
          <w:p w14:paraId="75AA98A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2F970AC2">
            <w:pPr>
              <w:adjustRightInd/>
              <w:snapToGrid/>
              <w:spacing w:line="240" w:lineRule="auto"/>
              <w:ind w:firstLine="0" w:firstLineChars="0"/>
              <w:jc w:val="left"/>
              <w:rPr>
                <w:rFonts w:hint="eastAsia" w:eastAsia="宋体" w:cs="宋体"/>
                <w:color w:val="000000"/>
                <w:spacing w:val="0"/>
                <w:sz w:val="20"/>
                <w:szCs w:val="20"/>
              </w:rPr>
            </w:pPr>
          </w:p>
        </w:tc>
      </w:tr>
      <w:tr w14:paraId="28F5D5E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741B7C3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559" w:type="pct"/>
            <w:tcBorders>
              <w:top w:val="single" w:color="000000" w:sz="4" w:space="0"/>
              <w:left w:val="single" w:color="000000" w:sz="4" w:space="0"/>
              <w:bottom w:val="single" w:color="000000" w:sz="4" w:space="0"/>
              <w:right w:val="single" w:color="000000" w:sz="4" w:space="0"/>
            </w:tcBorders>
            <w:vAlign w:val="center"/>
          </w:tcPr>
          <w:p w14:paraId="24BA220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防火墙授权</w:t>
            </w:r>
          </w:p>
        </w:tc>
        <w:tc>
          <w:tcPr>
            <w:tcW w:w="3211" w:type="pct"/>
            <w:vMerge w:val="continue"/>
            <w:tcBorders>
              <w:top w:val="single" w:color="000000" w:sz="4" w:space="0"/>
              <w:left w:val="single" w:color="000000" w:sz="4" w:space="0"/>
              <w:bottom w:val="single" w:color="000000" w:sz="4" w:space="0"/>
              <w:right w:val="single" w:color="000000" w:sz="4" w:space="0"/>
            </w:tcBorders>
            <w:vAlign w:val="center"/>
          </w:tcPr>
          <w:p w14:paraId="7A40741A">
            <w:pPr>
              <w:adjustRightInd/>
              <w:snapToGrid/>
              <w:spacing w:line="240" w:lineRule="auto"/>
              <w:ind w:firstLine="0" w:firstLineChars="0"/>
              <w:jc w:val="left"/>
              <w:rPr>
                <w:rFonts w:hint="eastAsia" w:eastAsia="宋体" w:cs="宋体"/>
                <w:color w:val="000000"/>
                <w:spacing w:val="0"/>
                <w:sz w:val="20"/>
                <w:szCs w:val="20"/>
              </w:rPr>
            </w:pPr>
          </w:p>
        </w:tc>
        <w:tc>
          <w:tcPr>
            <w:tcW w:w="264" w:type="pct"/>
            <w:tcBorders>
              <w:top w:val="single" w:color="000000" w:sz="4" w:space="0"/>
              <w:left w:val="single" w:color="000000" w:sz="4" w:space="0"/>
              <w:bottom w:val="single" w:color="000000" w:sz="4" w:space="0"/>
              <w:right w:val="single" w:color="000000" w:sz="4" w:space="0"/>
            </w:tcBorders>
            <w:vAlign w:val="center"/>
          </w:tcPr>
          <w:p w14:paraId="088E8AB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年</w:t>
            </w:r>
          </w:p>
        </w:tc>
        <w:tc>
          <w:tcPr>
            <w:tcW w:w="245" w:type="pct"/>
            <w:tcBorders>
              <w:top w:val="single" w:color="000000" w:sz="4" w:space="0"/>
              <w:left w:val="single" w:color="000000" w:sz="4" w:space="0"/>
              <w:bottom w:val="single" w:color="000000" w:sz="4" w:space="0"/>
              <w:right w:val="single" w:color="000000" w:sz="4" w:space="0"/>
            </w:tcBorders>
            <w:vAlign w:val="center"/>
          </w:tcPr>
          <w:p w14:paraId="0EAB11D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487" w:type="pct"/>
            <w:tcBorders>
              <w:top w:val="single" w:color="000000" w:sz="4" w:space="0"/>
              <w:left w:val="single" w:color="000000" w:sz="4" w:space="0"/>
              <w:bottom w:val="single" w:color="000000" w:sz="4" w:space="0"/>
              <w:right w:val="single" w:color="000000" w:sz="4" w:space="0"/>
            </w:tcBorders>
            <w:vAlign w:val="center"/>
          </w:tcPr>
          <w:p w14:paraId="5178F460">
            <w:pPr>
              <w:adjustRightInd/>
              <w:snapToGrid/>
              <w:spacing w:line="240" w:lineRule="auto"/>
              <w:ind w:firstLine="0" w:firstLineChars="0"/>
              <w:jc w:val="left"/>
              <w:rPr>
                <w:rFonts w:hint="eastAsia" w:eastAsia="宋体" w:cs="宋体"/>
                <w:color w:val="000000"/>
                <w:spacing w:val="0"/>
                <w:sz w:val="20"/>
                <w:szCs w:val="20"/>
              </w:rPr>
            </w:pPr>
          </w:p>
        </w:tc>
      </w:tr>
      <w:tr w14:paraId="5F0DCF21">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7BB83B1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w:t>
            </w:r>
          </w:p>
        </w:tc>
        <w:tc>
          <w:tcPr>
            <w:tcW w:w="559" w:type="pct"/>
            <w:tcBorders>
              <w:top w:val="single" w:color="000000" w:sz="4" w:space="0"/>
              <w:left w:val="single" w:color="000000" w:sz="4" w:space="0"/>
              <w:bottom w:val="single" w:color="000000" w:sz="4" w:space="0"/>
              <w:right w:val="single" w:color="000000" w:sz="4" w:space="0"/>
            </w:tcBorders>
            <w:vAlign w:val="center"/>
          </w:tcPr>
          <w:p w14:paraId="70861EA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核心交换机电路保护系统</w:t>
            </w:r>
          </w:p>
        </w:tc>
        <w:tc>
          <w:tcPr>
            <w:tcW w:w="3211" w:type="pct"/>
            <w:tcBorders>
              <w:top w:val="single" w:color="000000" w:sz="4" w:space="0"/>
              <w:left w:val="single" w:color="000000" w:sz="4" w:space="0"/>
              <w:bottom w:val="single" w:color="000000" w:sz="4" w:space="0"/>
              <w:right w:val="single" w:color="000000" w:sz="4" w:space="0"/>
            </w:tcBorders>
            <w:vAlign w:val="center"/>
          </w:tcPr>
          <w:p w14:paraId="4FD86CA4">
            <w:pPr>
              <w:widowControl/>
              <w:numPr>
                <w:ilvl w:val="0"/>
                <w:numId w:val="4"/>
              </w:numPr>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采用高性能微控制器主控芯片；</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 设备结构为多功能软硬件集成一体机。19寸标准机架式安装、占用机柜高度≤1.5U、挂耳可拆卸；</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 设备配置网络通讯接口至少包括RJ45、4G，网络防雷接口≧2路、漏电监测接口≧2路、电源输出接口≧2路国标插座；</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 支持防雷击防浪涌功能，最大放电电流Imax(8/20μs)≧40kA，电压保护水平Up≦1.7kV；支持监测诊断功能至少包含：电压、电流、功率、雷击浪涌次数、防雷器状态、防雷器温度、防雷器寿命、接地通断、断电、漏电监测，漏电流、雷电峰值电流、雷击时长、雷击总时长、雷击强度、雷电波形、接地电阻、温度、湿度、水浸；</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 设备标配≧2.0寸触摸显示屏，可显示监测指标信息，屏显内容包括：电压、电流、频率、功率、雷击浪涌次数、防雷器状态、防雷器温度、防雷器寿命、接地通断、漏电监测、温湿度、烟雾、水浸、安装单位、联系人、联系电话；通过手机扫描设备屏显的电子二维码进行关注，手机微信端和管理平台端均可进行查询、故障报修、图片上传、设备绑定授权、管理工单；</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 设备内置告警扬声器≧1个，具有系统、网络、入网状态指示灯，告警方式支持本机扬声器告警、手机微信告警、管理平台告警；</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 支持供电BYPASS功能，本机系统出现问题或者系统重启也不影响正常输出供电；</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 管理方式支持Web管理；</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质量保证：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1.提供原厂三年质保服务</w:t>
            </w:r>
          </w:p>
          <w:p w14:paraId="20ADCDE1">
            <w:pPr>
              <w:widowControl/>
              <w:numPr>
                <w:ilvl w:val="0"/>
                <w:numId w:val="0"/>
              </w:numPr>
              <w:adjustRightInd/>
              <w:snapToGrid/>
              <w:spacing w:line="240" w:lineRule="auto"/>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4011CE0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367098B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32E44A89">
            <w:pPr>
              <w:adjustRightInd/>
              <w:snapToGrid/>
              <w:spacing w:line="240" w:lineRule="auto"/>
              <w:ind w:firstLine="0" w:firstLineChars="0"/>
              <w:jc w:val="left"/>
              <w:rPr>
                <w:rFonts w:hint="eastAsia" w:eastAsia="宋体" w:cs="宋体"/>
                <w:color w:val="000000"/>
                <w:spacing w:val="0"/>
                <w:sz w:val="20"/>
                <w:szCs w:val="20"/>
              </w:rPr>
            </w:pPr>
          </w:p>
        </w:tc>
      </w:tr>
      <w:tr w14:paraId="06611AD8">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4777195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5</w:t>
            </w:r>
          </w:p>
        </w:tc>
        <w:tc>
          <w:tcPr>
            <w:tcW w:w="559" w:type="pct"/>
            <w:tcBorders>
              <w:top w:val="single" w:color="000000" w:sz="4" w:space="0"/>
              <w:left w:val="single" w:color="000000" w:sz="4" w:space="0"/>
              <w:bottom w:val="single" w:color="000000" w:sz="4" w:space="0"/>
              <w:right w:val="single" w:color="000000" w:sz="4" w:space="0"/>
            </w:tcBorders>
            <w:vAlign w:val="center"/>
          </w:tcPr>
          <w:p w14:paraId="57CC20F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核心交换机</w:t>
            </w:r>
          </w:p>
        </w:tc>
        <w:tc>
          <w:tcPr>
            <w:tcW w:w="3211" w:type="pct"/>
            <w:tcBorders>
              <w:top w:val="single" w:color="000000" w:sz="4" w:space="0"/>
              <w:left w:val="single" w:color="000000" w:sz="4" w:space="0"/>
              <w:bottom w:val="single" w:color="000000" w:sz="4" w:space="0"/>
              <w:right w:val="single" w:color="000000" w:sz="4" w:space="0"/>
            </w:tcBorders>
            <w:vAlign w:val="center"/>
          </w:tcPr>
          <w:p w14:paraId="738610D6">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1.灾备机房部署备用核心交换机一台（设备由业主提供）</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2.设备上架，部署网络环境</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3.与数据中心机房主用核心交换机进行虚拟化部署</w:t>
            </w:r>
          </w:p>
        </w:tc>
        <w:tc>
          <w:tcPr>
            <w:tcW w:w="264" w:type="pct"/>
            <w:tcBorders>
              <w:top w:val="single" w:color="000000" w:sz="4" w:space="0"/>
              <w:left w:val="single" w:color="000000" w:sz="4" w:space="0"/>
              <w:bottom w:val="single" w:color="000000" w:sz="4" w:space="0"/>
              <w:right w:val="single" w:color="000000" w:sz="4" w:space="0"/>
            </w:tcBorders>
            <w:vAlign w:val="center"/>
          </w:tcPr>
          <w:p w14:paraId="765A065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251F81D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25305DD9">
            <w:pPr>
              <w:adjustRightInd/>
              <w:snapToGrid/>
              <w:spacing w:line="240" w:lineRule="auto"/>
              <w:ind w:firstLine="0" w:firstLineChars="0"/>
              <w:jc w:val="left"/>
              <w:rPr>
                <w:rFonts w:hint="eastAsia" w:eastAsia="宋体" w:cs="宋体"/>
                <w:color w:val="000000"/>
                <w:spacing w:val="0"/>
                <w:sz w:val="20"/>
                <w:szCs w:val="20"/>
              </w:rPr>
            </w:pPr>
          </w:p>
        </w:tc>
      </w:tr>
      <w:tr w14:paraId="7A13058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45DCE20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6</w:t>
            </w:r>
          </w:p>
        </w:tc>
        <w:tc>
          <w:tcPr>
            <w:tcW w:w="559" w:type="pct"/>
            <w:tcBorders>
              <w:top w:val="single" w:color="000000" w:sz="4" w:space="0"/>
              <w:left w:val="single" w:color="000000" w:sz="4" w:space="0"/>
              <w:bottom w:val="single" w:color="000000" w:sz="4" w:space="0"/>
              <w:right w:val="single" w:color="000000" w:sz="4" w:space="0"/>
            </w:tcBorders>
            <w:vAlign w:val="center"/>
          </w:tcPr>
          <w:p w14:paraId="0147B44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三层交换机</w:t>
            </w:r>
          </w:p>
        </w:tc>
        <w:tc>
          <w:tcPr>
            <w:tcW w:w="3211" w:type="pct"/>
            <w:vMerge w:val="restart"/>
            <w:tcBorders>
              <w:top w:val="single" w:color="000000" w:sz="4" w:space="0"/>
              <w:left w:val="single" w:color="000000" w:sz="4" w:space="0"/>
              <w:bottom w:val="single" w:color="000000" w:sz="4" w:space="0"/>
              <w:right w:val="single" w:color="000000" w:sz="4" w:space="0"/>
            </w:tcBorders>
            <w:vAlign w:val="center"/>
          </w:tcPr>
          <w:p w14:paraId="1435D87D">
            <w:pPr>
              <w:widowControl/>
              <w:numPr>
                <w:ilvl w:val="0"/>
                <w:numId w:val="5"/>
              </w:numPr>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提供≥24个10/100/1000Base-T以太网端口，≥4个万兆SFP+端口，实配1+1冗余电源。</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2、交换容量≥670Gbps，包转发率≥150Mpps。</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3、采用国产CPU、国产交换芯片。</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4、设备MAC表项≥48K，ARP表项≥8K，IPv4路由表项≥12K，IPv6路由表项≥4K，ACL容量≥3.5K，产品端口浪涌抗扰度≥10KV（即具备10KV的防雷能力）。</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5、支持Openflow 1.3相关SDN协议，提供准入管控功能。</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6、支持静态路由、RIP/RIPng、OSPFv2/OSPFv3等三层路由协议；支持SAVI功能，可防止地址解析欺骗。</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7、支持专门基础网络保护机制，支持多种类型的防护，如ARP防护，当ARP速率超过攻击水线，对有攻击行为的用户进行隔离，保证设备和整网的安全稳定运行。</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支持生成树协议，保证网络的稳定运行和链路的负载均衡，合理使用网络通道，提供冗余链路利用率，支持虚拟路由器冗余协议，支持快速链路检测协议，可快速检测链路的通断和光纤链路的单向性，并支持端口下的环路检测功能，防止端口下因私接Hub等设备形成的环路而导致网络故障的现象。</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9、支持SNMP、CLI(Telnet/Console)、RMON、SSH、Syslog、NTP/SNTP、FTP、TFTP、Web。</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10、为保证IPv6的可部署性和应用性，需通过IPv6 Ready Phase2认证测试。</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质量保证：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1.提供原厂三年质保服务</w:t>
            </w:r>
          </w:p>
          <w:p w14:paraId="2DFEB958">
            <w:pPr>
              <w:widowControl/>
              <w:numPr>
                <w:ilvl w:val="0"/>
                <w:numId w:val="0"/>
              </w:numPr>
              <w:adjustRightInd/>
              <w:snapToGrid/>
              <w:spacing w:line="240" w:lineRule="auto"/>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38778D4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70C5ED8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0078601F">
            <w:pPr>
              <w:adjustRightInd/>
              <w:snapToGrid/>
              <w:spacing w:line="240" w:lineRule="auto"/>
              <w:ind w:firstLine="0" w:firstLineChars="0"/>
              <w:jc w:val="left"/>
              <w:rPr>
                <w:rFonts w:hint="eastAsia" w:eastAsia="宋体" w:cs="宋体"/>
                <w:color w:val="000000"/>
                <w:spacing w:val="0"/>
                <w:sz w:val="20"/>
                <w:szCs w:val="20"/>
              </w:rPr>
            </w:pPr>
          </w:p>
        </w:tc>
      </w:tr>
      <w:tr w14:paraId="4D917106">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2DB960B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7</w:t>
            </w:r>
          </w:p>
        </w:tc>
        <w:tc>
          <w:tcPr>
            <w:tcW w:w="559" w:type="pct"/>
            <w:tcBorders>
              <w:top w:val="single" w:color="000000" w:sz="4" w:space="0"/>
              <w:left w:val="single" w:color="000000" w:sz="4" w:space="0"/>
              <w:bottom w:val="single" w:color="000000" w:sz="4" w:space="0"/>
              <w:right w:val="single" w:color="000000" w:sz="4" w:space="0"/>
            </w:tcBorders>
            <w:vAlign w:val="center"/>
          </w:tcPr>
          <w:p w14:paraId="5613A33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交换机电源</w:t>
            </w:r>
          </w:p>
        </w:tc>
        <w:tc>
          <w:tcPr>
            <w:tcW w:w="3211" w:type="pct"/>
            <w:vMerge w:val="continue"/>
            <w:tcBorders>
              <w:top w:val="single" w:color="000000" w:sz="4" w:space="0"/>
              <w:left w:val="single" w:color="000000" w:sz="4" w:space="0"/>
              <w:bottom w:val="single" w:color="000000" w:sz="4" w:space="0"/>
              <w:right w:val="single" w:color="000000" w:sz="4" w:space="0"/>
            </w:tcBorders>
            <w:vAlign w:val="center"/>
          </w:tcPr>
          <w:p w14:paraId="7DF54F65">
            <w:pPr>
              <w:adjustRightInd/>
              <w:snapToGrid/>
              <w:spacing w:line="240" w:lineRule="auto"/>
              <w:ind w:firstLine="0" w:firstLineChars="0"/>
              <w:jc w:val="left"/>
              <w:rPr>
                <w:rFonts w:hint="eastAsia" w:eastAsia="宋体" w:cs="宋体"/>
                <w:color w:val="000000"/>
                <w:spacing w:val="0"/>
                <w:sz w:val="20"/>
                <w:szCs w:val="20"/>
              </w:rPr>
            </w:pPr>
          </w:p>
        </w:tc>
        <w:tc>
          <w:tcPr>
            <w:tcW w:w="264" w:type="pct"/>
            <w:tcBorders>
              <w:top w:val="single" w:color="000000" w:sz="4" w:space="0"/>
              <w:left w:val="single" w:color="000000" w:sz="4" w:space="0"/>
              <w:bottom w:val="single" w:color="000000" w:sz="4" w:space="0"/>
              <w:right w:val="single" w:color="000000" w:sz="4" w:space="0"/>
            </w:tcBorders>
            <w:vAlign w:val="center"/>
          </w:tcPr>
          <w:p w14:paraId="2B0F46F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个</w:t>
            </w:r>
          </w:p>
        </w:tc>
        <w:tc>
          <w:tcPr>
            <w:tcW w:w="245" w:type="pct"/>
            <w:tcBorders>
              <w:top w:val="single" w:color="000000" w:sz="4" w:space="0"/>
              <w:left w:val="single" w:color="000000" w:sz="4" w:space="0"/>
              <w:bottom w:val="single" w:color="000000" w:sz="4" w:space="0"/>
              <w:right w:val="single" w:color="000000" w:sz="4" w:space="0"/>
            </w:tcBorders>
            <w:vAlign w:val="center"/>
          </w:tcPr>
          <w:p w14:paraId="4F1A2EE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3D1CF9C9">
            <w:pPr>
              <w:adjustRightInd/>
              <w:snapToGrid/>
              <w:spacing w:line="240" w:lineRule="auto"/>
              <w:ind w:firstLine="0" w:firstLineChars="0"/>
              <w:jc w:val="left"/>
              <w:rPr>
                <w:rFonts w:hint="eastAsia" w:eastAsia="宋体" w:cs="宋体"/>
                <w:color w:val="000000"/>
                <w:spacing w:val="0"/>
                <w:sz w:val="20"/>
                <w:szCs w:val="20"/>
              </w:rPr>
            </w:pPr>
          </w:p>
        </w:tc>
      </w:tr>
      <w:tr w14:paraId="39B52850">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5604CF3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8</w:t>
            </w:r>
          </w:p>
        </w:tc>
        <w:tc>
          <w:tcPr>
            <w:tcW w:w="559" w:type="pct"/>
            <w:tcBorders>
              <w:top w:val="single" w:color="000000" w:sz="4" w:space="0"/>
              <w:left w:val="single" w:color="000000" w:sz="4" w:space="0"/>
              <w:bottom w:val="single" w:color="000000" w:sz="4" w:space="0"/>
              <w:right w:val="single" w:color="000000" w:sz="4" w:space="0"/>
            </w:tcBorders>
            <w:vAlign w:val="center"/>
          </w:tcPr>
          <w:p w14:paraId="7307DA2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万兆光模块</w:t>
            </w:r>
          </w:p>
        </w:tc>
        <w:tc>
          <w:tcPr>
            <w:tcW w:w="3211" w:type="pct"/>
            <w:tcBorders>
              <w:top w:val="single" w:color="000000" w:sz="4" w:space="0"/>
              <w:left w:val="single" w:color="000000" w:sz="4" w:space="0"/>
              <w:bottom w:val="single" w:color="000000" w:sz="4" w:space="0"/>
              <w:right w:val="single" w:color="000000" w:sz="4" w:space="0"/>
            </w:tcBorders>
            <w:vAlign w:val="center"/>
          </w:tcPr>
          <w:p w14:paraId="7B3F047B">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1.万兆单模光纤模块（10km，1310nm）。</w:t>
            </w:r>
          </w:p>
        </w:tc>
        <w:tc>
          <w:tcPr>
            <w:tcW w:w="264" w:type="pct"/>
            <w:tcBorders>
              <w:top w:val="single" w:color="000000" w:sz="4" w:space="0"/>
              <w:left w:val="single" w:color="000000" w:sz="4" w:space="0"/>
              <w:bottom w:val="single" w:color="000000" w:sz="4" w:space="0"/>
              <w:right w:val="single" w:color="000000" w:sz="4" w:space="0"/>
            </w:tcBorders>
            <w:vAlign w:val="center"/>
          </w:tcPr>
          <w:p w14:paraId="0DD404D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块</w:t>
            </w:r>
          </w:p>
        </w:tc>
        <w:tc>
          <w:tcPr>
            <w:tcW w:w="245" w:type="pct"/>
            <w:tcBorders>
              <w:top w:val="single" w:color="000000" w:sz="4" w:space="0"/>
              <w:left w:val="single" w:color="000000" w:sz="4" w:space="0"/>
              <w:bottom w:val="single" w:color="000000" w:sz="4" w:space="0"/>
              <w:right w:val="single" w:color="000000" w:sz="4" w:space="0"/>
            </w:tcBorders>
            <w:vAlign w:val="center"/>
          </w:tcPr>
          <w:p w14:paraId="78CEA3B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6</w:t>
            </w:r>
          </w:p>
        </w:tc>
        <w:tc>
          <w:tcPr>
            <w:tcW w:w="487" w:type="pct"/>
            <w:tcBorders>
              <w:top w:val="single" w:color="000000" w:sz="4" w:space="0"/>
              <w:left w:val="single" w:color="000000" w:sz="4" w:space="0"/>
              <w:bottom w:val="single" w:color="000000" w:sz="4" w:space="0"/>
              <w:right w:val="single" w:color="000000" w:sz="4" w:space="0"/>
            </w:tcBorders>
            <w:vAlign w:val="center"/>
          </w:tcPr>
          <w:p w14:paraId="1C86A813">
            <w:pPr>
              <w:adjustRightInd/>
              <w:snapToGrid/>
              <w:spacing w:line="240" w:lineRule="auto"/>
              <w:ind w:firstLine="0" w:firstLineChars="0"/>
              <w:jc w:val="left"/>
              <w:rPr>
                <w:rFonts w:hint="eastAsia" w:eastAsia="宋体" w:cs="宋体"/>
                <w:color w:val="000000"/>
                <w:spacing w:val="0"/>
                <w:sz w:val="20"/>
                <w:szCs w:val="20"/>
              </w:rPr>
            </w:pPr>
          </w:p>
        </w:tc>
      </w:tr>
      <w:tr w14:paraId="65C9AD7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80362E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9</w:t>
            </w:r>
          </w:p>
        </w:tc>
        <w:tc>
          <w:tcPr>
            <w:tcW w:w="559" w:type="pct"/>
            <w:tcBorders>
              <w:top w:val="single" w:color="000000" w:sz="4" w:space="0"/>
              <w:left w:val="single" w:color="000000" w:sz="4" w:space="0"/>
              <w:bottom w:val="single" w:color="000000" w:sz="4" w:space="0"/>
              <w:right w:val="single" w:color="000000" w:sz="4" w:space="0"/>
            </w:tcBorders>
            <w:vAlign w:val="center"/>
          </w:tcPr>
          <w:p w14:paraId="74F7091D">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千兆光模块</w:t>
            </w:r>
          </w:p>
        </w:tc>
        <w:tc>
          <w:tcPr>
            <w:tcW w:w="3211" w:type="pct"/>
            <w:tcBorders>
              <w:top w:val="single" w:color="000000" w:sz="4" w:space="0"/>
              <w:left w:val="single" w:color="000000" w:sz="4" w:space="0"/>
              <w:bottom w:val="single" w:color="000000" w:sz="4" w:space="0"/>
              <w:right w:val="single" w:color="000000" w:sz="4" w:space="0"/>
            </w:tcBorders>
            <w:vAlign w:val="center"/>
          </w:tcPr>
          <w:p w14:paraId="02A0266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1.1000BASE-LX mini GBIC转换模块（1310nm），10km，单模。</w:t>
            </w:r>
          </w:p>
        </w:tc>
        <w:tc>
          <w:tcPr>
            <w:tcW w:w="264" w:type="pct"/>
            <w:tcBorders>
              <w:top w:val="single" w:color="000000" w:sz="4" w:space="0"/>
              <w:left w:val="single" w:color="000000" w:sz="4" w:space="0"/>
              <w:bottom w:val="single" w:color="000000" w:sz="4" w:space="0"/>
              <w:right w:val="single" w:color="000000" w:sz="4" w:space="0"/>
            </w:tcBorders>
            <w:vAlign w:val="center"/>
          </w:tcPr>
          <w:p w14:paraId="6190A33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块</w:t>
            </w:r>
          </w:p>
        </w:tc>
        <w:tc>
          <w:tcPr>
            <w:tcW w:w="245" w:type="pct"/>
            <w:tcBorders>
              <w:top w:val="single" w:color="000000" w:sz="4" w:space="0"/>
              <w:left w:val="single" w:color="000000" w:sz="4" w:space="0"/>
              <w:bottom w:val="single" w:color="000000" w:sz="4" w:space="0"/>
              <w:right w:val="single" w:color="000000" w:sz="4" w:space="0"/>
            </w:tcBorders>
            <w:vAlign w:val="center"/>
          </w:tcPr>
          <w:p w14:paraId="50D667B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w:t>
            </w:r>
          </w:p>
        </w:tc>
        <w:tc>
          <w:tcPr>
            <w:tcW w:w="487" w:type="pct"/>
            <w:tcBorders>
              <w:top w:val="single" w:color="000000" w:sz="4" w:space="0"/>
              <w:left w:val="single" w:color="000000" w:sz="4" w:space="0"/>
              <w:bottom w:val="single" w:color="000000" w:sz="4" w:space="0"/>
              <w:right w:val="single" w:color="000000" w:sz="4" w:space="0"/>
            </w:tcBorders>
            <w:vAlign w:val="center"/>
          </w:tcPr>
          <w:p w14:paraId="429069E6">
            <w:pPr>
              <w:adjustRightInd/>
              <w:snapToGrid/>
              <w:spacing w:line="240" w:lineRule="auto"/>
              <w:ind w:firstLine="0" w:firstLineChars="0"/>
              <w:jc w:val="left"/>
              <w:rPr>
                <w:rFonts w:hint="eastAsia" w:eastAsia="宋体" w:cs="宋体"/>
                <w:color w:val="000000"/>
                <w:spacing w:val="0"/>
                <w:sz w:val="20"/>
                <w:szCs w:val="20"/>
              </w:rPr>
            </w:pPr>
          </w:p>
        </w:tc>
      </w:tr>
      <w:tr w14:paraId="5ED6029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4C7E6AD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10</w:t>
            </w:r>
          </w:p>
        </w:tc>
        <w:tc>
          <w:tcPr>
            <w:tcW w:w="559" w:type="pct"/>
            <w:tcBorders>
              <w:top w:val="single" w:color="000000" w:sz="4" w:space="0"/>
              <w:left w:val="single" w:color="000000" w:sz="4" w:space="0"/>
              <w:bottom w:val="single" w:color="000000" w:sz="4" w:space="0"/>
              <w:right w:val="single" w:color="000000" w:sz="4" w:space="0"/>
            </w:tcBorders>
            <w:vAlign w:val="center"/>
          </w:tcPr>
          <w:p w14:paraId="387804B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服务器机柜</w:t>
            </w:r>
          </w:p>
        </w:tc>
        <w:tc>
          <w:tcPr>
            <w:tcW w:w="3211" w:type="pct"/>
            <w:tcBorders>
              <w:top w:val="single" w:color="000000" w:sz="4" w:space="0"/>
              <w:left w:val="single" w:color="000000" w:sz="4" w:space="0"/>
              <w:bottom w:val="single" w:color="000000" w:sz="4" w:space="0"/>
              <w:right w:val="single" w:color="000000" w:sz="4" w:space="0"/>
            </w:tcBorders>
            <w:vAlign w:val="center"/>
          </w:tcPr>
          <w:p w14:paraId="6D674115">
            <w:pPr>
              <w:widowControl/>
              <w:numPr>
                <w:ilvl w:val="0"/>
                <w:numId w:val="6"/>
              </w:numPr>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采用整体式框架结构设计，方便运输、安装灵活。</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2.环境条件</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1）工作温度：-5℃到 +40℃；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2）相对温度：≦85%RH （25℃±5℃时）；</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3）海拔高度：≦1000m；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4）垂直倾斜度：≦5%。</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3.外观与形象</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1）外观高贵典雅，工艺精湛，尺寸精密。</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2）凸显优质工程，彰显高贵品质。</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3）机柜外形尺寸：服务器机柜：600mm*1000mm*1200mm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颜色及表面处理：黑色（色标号RAL9005）、静电粉末喷涂工艺，机柜表面颜色、质感要高雅、防腐、耐脏、不易产生划痕；机柜表面要求进行脱脂、酸洗、防锈磷化、纯水清洗等预处理；表层外观应表面光洁、色泽均匀、无露底、无流积、无起泡、无裂纹、金属件无毛刺和锈蚀。</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4.结构与材料</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1）柜体选用优质冷轧钢板制作,推荐采用框架结构。</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2）钢板厚度：总体板厚为1.2～2.0mm，前、后门、侧门、框架≥1.2mm，立柱≥2.0mm，连接件、承重板≥1.5mm。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柜门的形式：机柜前后网孔门结构，配置安全锁。前后门为整体单开门结构，高级旋把门锁，门开启角度130°；选用优质冷轧钢板，钢板厚度≧1.2mm，前后门安装后，无倾斜、凹陷、凸起或局部歪、扭现象存在；</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4）侧板：选用优质冷轧钢板，钢板厚度≧1.2mm，可速装速卸；</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5）机械活动部位转动灵活、插拔适度、锁定可靠、施工安装和维护方便。</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6）配置：每台机柜需配置四个风扇、一块台板、一个10A6位PDU电源、机柜螺丝不低于20套；地脚螺钉4颗。</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7）产品通过24h的中性盐雾试验。</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5.承重</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1）安装角轨厚度≧2.0mm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2）立柱和安装角轨≧4折</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3）承重板选用优质冷轧钢板，钢板厚度≧1.5mm，承板深度≧350mm，承重≧100Kg。</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4）产品通过72h的静载荷800KG的承重试验；</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质量保证：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1.提供原厂三年质保服务</w:t>
            </w:r>
          </w:p>
          <w:p w14:paraId="4A9DD13B">
            <w:pPr>
              <w:widowControl/>
              <w:numPr>
                <w:ilvl w:val="0"/>
                <w:numId w:val="0"/>
              </w:numPr>
              <w:adjustRightInd/>
              <w:snapToGrid/>
              <w:spacing w:line="240" w:lineRule="auto"/>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37FA298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1377A3E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64A51362">
            <w:pPr>
              <w:adjustRightInd/>
              <w:snapToGrid/>
              <w:spacing w:line="240" w:lineRule="auto"/>
              <w:ind w:firstLine="0" w:firstLineChars="0"/>
              <w:jc w:val="left"/>
              <w:rPr>
                <w:rFonts w:hint="eastAsia" w:eastAsia="宋体" w:cs="宋体"/>
                <w:color w:val="000000"/>
                <w:spacing w:val="0"/>
                <w:sz w:val="20"/>
                <w:szCs w:val="20"/>
              </w:rPr>
            </w:pPr>
          </w:p>
        </w:tc>
      </w:tr>
      <w:tr w14:paraId="7B223950">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560A59E2">
            <w:pPr>
              <w:adjustRightInd/>
              <w:snapToGrid/>
              <w:spacing w:line="240" w:lineRule="auto"/>
              <w:ind w:firstLine="0" w:firstLineChars="0"/>
              <w:jc w:val="left"/>
              <w:rPr>
                <w:rFonts w:hint="eastAsia" w:eastAsia="宋体" w:cs="宋体"/>
                <w:color w:val="000000"/>
                <w:spacing w:val="0"/>
                <w:sz w:val="20"/>
                <w:szCs w:val="20"/>
              </w:rPr>
            </w:pPr>
            <w:r>
              <w:rPr>
                <w:rFonts w:hint="eastAsia" w:eastAsia="宋体" w:cs="宋体"/>
                <w:b/>
                <w:bCs/>
                <w:color w:val="000000"/>
                <w:spacing w:val="0"/>
                <w:kern w:val="0"/>
                <w:sz w:val="20"/>
                <w:szCs w:val="20"/>
                <w:lang w:bidi="ar"/>
              </w:rPr>
              <w:t>六、数据及应用备份系统</w:t>
            </w:r>
          </w:p>
        </w:tc>
      </w:tr>
      <w:tr w14:paraId="6303AC72">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3B02F5C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559" w:type="pct"/>
            <w:tcBorders>
              <w:top w:val="single" w:color="000000" w:sz="4" w:space="0"/>
              <w:left w:val="single" w:color="000000" w:sz="4" w:space="0"/>
              <w:bottom w:val="single" w:color="000000" w:sz="4" w:space="0"/>
              <w:right w:val="single" w:color="000000" w:sz="4" w:space="0"/>
            </w:tcBorders>
            <w:vAlign w:val="center"/>
          </w:tcPr>
          <w:p w14:paraId="75A030EA">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备份一体机（含备份软件）</w:t>
            </w:r>
          </w:p>
        </w:tc>
        <w:tc>
          <w:tcPr>
            <w:tcW w:w="3211" w:type="pct"/>
            <w:tcBorders>
              <w:top w:val="single" w:color="000000" w:sz="4" w:space="0"/>
              <w:left w:val="single" w:color="000000" w:sz="4" w:space="0"/>
              <w:bottom w:val="single" w:color="000000" w:sz="4" w:space="0"/>
              <w:right w:val="single" w:color="000000" w:sz="4" w:space="0"/>
            </w:tcBorders>
            <w:vAlign w:val="center"/>
          </w:tcPr>
          <w:p w14:paraId="4C9171CD">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 xml:space="preserve">1.机架式标准2U12盘位设备，配≧2颗国产X86架构2.5GHz 16core CPU，配≧ 128GB 内存，标配≧ 2*480G SSD 盘做系统盘，配≧4个千兆网络端口和≧2个万兆光口，配置≧12块4TB企业级磁盘； </w:t>
            </w:r>
          </w:p>
          <w:p w14:paraId="30450853">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2.</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提供基于磁盘数据块复制技术的整机备份，无需了解主机业务系统类型、部署方法、业务系统间的数据交互机制、数据结构/逻辑关系和数据库的品牌/版本，本次提供≧20TB数据保护容量授权。</w:t>
            </w:r>
          </w:p>
          <w:p w14:paraId="759D82F3">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3.</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提供对任意品牌技术的X86、C86、ARM服务器的统一灾备保护功能，提供对非国产Windows/Linux操作系统的灾备保护功能，满足对32/64位系统平台及应用支持，具体如下：Windows Sever 2003以上版本；WindowsXP/7/8/10；Redhat /Centos/Oracle Linux 5.x及其之后；Suse 10 sp1~sp4/11sp1~sp4/12 sp1~sp4；Ubuntu12 -~Ubuntu16；Debian8 ~ Debian9；提供对国产操作系统中标麒麟、银河麒麟、统信、中科方德等的灾备保护。</w:t>
            </w:r>
          </w:p>
          <w:p w14:paraId="20A034E0">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4.</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 xml:space="preserve">支持对X86、C86、ARM架构下的物理主机、虚拟化主机、超融合主机、云主机提供CDP持续数据保护，实时备份磁盘任意时刻的状态，备份时间粒度最小可达秒级实现RPO趋近于0。 </w:t>
            </w:r>
          </w:p>
          <w:p w14:paraId="7CBDEFC7">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5.</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支持针对X86架构下集群业务系统类似于Oracle RAC等整机集群CDP持续数据保护，保障核心应用系统数据完整性。</w:t>
            </w:r>
          </w:p>
          <w:p w14:paraId="5B2BB80A">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6.</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支持X86架构下重要业务如HANA数据库实时数据库等核心应用的CDP持续数据保护功能；</w:t>
            </w:r>
          </w:p>
          <w:p w14:paraId="56E9BCBA">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7.</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支持基于Vmware虚拟化平台主机定时备份保护功能，无需在虚拟机中安装任何客户端代理;</w:t>
            </w:r>
          </w:p>
          <w:p w14:paraId="0CE3F1E8">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8.</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支持完整备份和增量备份，第一次备份时使用完整备份保留整机应用的完整状态，后续采用增量备份，大幅减少备份的数据量。</w:t>
            </w:r>
          </w:p>
          <w:p w14:paraId="4BA0112F">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9.</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支持对WindowsXP/7/8/10操作系统办公终端提供整机备份保护，按照策略实现历史时间点的整机回滚，保障重要办公终端数据安全；</w:t>
            </w:r>
          </w:p>
          <w:p w14:paraId="24143024">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10.</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支持备份时通过备份与恢复系统进行网络带宽占用限速、磁盘读写占用限速，以确保备份时对生产的影响小并且在可控范围内。</w:t>
            </w:r>
          </w:p>
          <w:p w14:paraId="6BD58BA0">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11.</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可将选定的备份点加载为CIFS文件共享和网络共享路径可直接在WEB浏览器中直接URL访问，管理员可快速确认需被验证的备份点文件是否是符合预期，备份点是否可用、可靠；</w:t>
            </w:r>
          </w:p>
          <w:p w14:paraId="0043DF32">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12.</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针对X86和C86生产环境，可自建隔离私有虚拟化验证环境，无论备份任务是否停止，可同时选一个备份任务的多个备份点执行虚拟化验证备份数据的一致性和可靠性，在灾难发生时采用二分法快速定位出最佳数据恢复的备份历史点（提供截图和证明材料）；</w:t>
            </w:r>
          </w:p>
          <w:p w14:paraId="123A251D">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13.</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可同时启动多个虚拟机对集群业务系统、Oracle RAC等共享存储的集群数据库和应用提供快速整机虚拟化验证。</w:t>
            </w:r>
          </w:p>
          <w:p w14:paraId="59300F05">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14.</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演练时，演练目标机无需预置任何演练环境（目标机无操作系统、目标机和原机操作系统不一致、目标机无应用系统、目标机无数据库等）可即时开展对指定业务模拟故障后的演练重建功能。</w:t>
            </w:r>
          </w:p>
          <w:p w14:paraId="261534D0">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15.</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用户日常运维过程中丢失单个文件/文件夹，备份系统支持将任意时间的备份点加载为网络共享路径或在WEB浏览器中直接URL访问的方式，管理员可轻松找到该文件并复制出来；支持采用文件的直接恢复的方式，可指定恢复单个文件或文件夹到原机某个目录下；</w:t>
            </w:r>
          </w:p>
          <w:p w14:paraId="313FF20C">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16.</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整机全场景恢复，无需部署配置操作系统、应用和数据库等系统环境，实现全场景带业务逻辑的整机灾难重建，无需人工手动安装驱动、更改注册表信息、应用配置信息等，极大降低灾难重建恢复难度和效率。</w:t>
            </w:r>
          </w:p>
          <w:p w14:paraId="2D825CFC">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17.</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针对X86和C86生产环境，支持应急接管时无需另配置恢复主机，备份系统可自建应急接管虚拟主机，无需集成/配置第三方虚拟化平台，降低因虚拟化平台兼容性而导致的恢复风险；</w:t>
            </w:r>
          </w:p>
          <w:p w14:paraId="29E5947C">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18.</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 xml:space="preserve">支持可基于同一个备份点同时启动多个不同IP地址、不同个数CPU、不同大小内存等配置虚拟机对外提供服务，以应对副本使用、系统故障应急等不同功能、性能需求。 </w:t>
            </w:r>
          </w:p>
          <w:p w14:paraId="65AB515C">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19.</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 xml:space="preserve">支持应急接管时，可即刻开始对接管主机提供秒级CDP增量备份保护，且应急接管期间新增的数据会形成备份点可用于数据恢复，防止接管期间的误删除、误操作、逻辑错误等导致数据丢失。 </w:t>
            </w:r>
          </w:p>
          <w:p w14:paraId="1A360812">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20.</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支持应急接管时，可同时配置将接管主机整机回迁至原生产环境的相关参数，应急接管期间整机包含新增数据的无缝回迁至生产环境主机，应急接管结束后择机可恢复至生产环境。</w:t>
            </w:r>
          </w:p>
          <w:p w14:paraId="6B27BE5B">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21.</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备份系统的专用嵌入式操作系统维护后台采用动态口令机制，动态口令由设备管理员和原厂口令组成，原厂口令随着设备管理员的改密码操作而变化，确保系统后台密码都是唯一的，减少被攻破的可能性。</w:t>
            </w:r>
          </w:p>
          <w:p w14:paraId="3848AAEF">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22.</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 xml:space="preserve">  备份系统网络可配置“网卡关闭/开启策略”，还可将除备份数据传输端口外的SSH、网络访问等网络端口全部关闭，杜绝除传输备份数据流之外一切网络访问的可能，降低备份系统被攻击的概率。</w:t>
            </w:r>
          </w:p>
          <w:p w14:paraId="7D7BF9D2">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23.</w:t>
            </w:r>
            <w:r>
              <w:rPr>
                <w:rFonts w:hint="eastAsia" w:eastAsia="宋体" w:cs="宋体"/>
                <w:color w:val="000000"/>
                <w:spacing w:val="0"/>
                <w:kern w:val="0"/>
                <w:sz w:val="20"/>
                <w:szCs w:val="20"/>
                <w:lang w:bidi="ar"/>
              </w:rPr>
              <w:tab/>
            </w:r>
            <w:r>
              <w:rPr>
                <w:rFonts w:hint="eastAsia" w:eastAsia="宋体" w:cs="宋体"/>
                <w:color w:val="000000"/>
                <w:spacing w:val="0"/>
                <w:kern w:val="0"/>
                <w:sz w:val="20"/>
                <w:szCs w:val="20"/>
                <w:lang w:bidi="ar"/>
              </w:rPr>
              <w:t>支持以图形或WEB方式进行批量操作管理，包括在管理范围内设备的状态和性能信息、各种数据保护参数、各种备份作业的设置信息、各种备份/恢复作业的执行状态统计信息、各种备份业务数据的相关信息等。全面支持简体中文的界面操作。</w:t>
            </w:r>
          </w:p>
          <w:p w14:paraId="1A807E30">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质量保证：</w:t>
            </w:r>
          </w:p>
          <w:p w14:paraId="2FC33752">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1.提供原厂三年质保服务</w:t>
            </w:r>
          </w:p>
          <w:p w14:paraId="24F3EB8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2.提供技术参数及功能的证明材料</w:t>
            </w:r>
          </w:p>
        </w:tc>
        <w:tc>
          <w:tcPr>
            <w:tcW w:w="264" w:type="pct"/>
            <w:tcBorders>
              <w:top w:val="single" w:color="000000" w:sz="4" w:space="0"/>
              <w:left w:val="single" w:color="000000" w:sz="4" w:space="0"/>
              <w:bottom w:val="single" w:color="000000" w:sz="4" w:space="0"/>
              <w:right w:val="single" w:color="000000" w:sz="4" w:space="0"/>
            </w:tcBorders>
            <w:vAlign w:val="center"/>
          </w:tcPr>
          <w:p w14:paraId="5DA1FD6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6713594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463967C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数据实时备份</w:t>
            </w:r>
          </w:p>
        </w:tc>
      </w:tr>
      <w:tr w14:paraId="45F0C764">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1441814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559" w:type="pct"/>
            <w:tcBorders>
              <w:top w:val="single" w:color="000000" w:sz="4" w:space="0"/>
              <w:left w:val="single" w:color="000000" w:sz="4" w:space="0"/>
              <w:bottom w:val="single" w:color="000000" w:sz="4" w:space="0"/>
              <w:right w:val="single" w:color="000000" w:sz="4" w:space="0"/>
            </w:tcBorders>
            <w:vAlign w:val="center"/>
          </w:tcPr>
          <w:p w14:paraId="256EE45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应用服务器</w:t>
            </w:r>
          </w:p>
        </w:tc>
        <w:tc>
          <w:tcPr>
            <w:tcW w:w="3211" w:type="pct"/>
            <w:tcBorders>
              <w:top w:val="single" w:color="000000" w:sz="4" w:space="0"/>
              <w:left w:val="single" w:color="000000" w:sz="4" w:space="0"/>
              <w:bottom w:val="single" w:color="000000" w:sz="4" w:space="0"/>
              <w:right w:val="single" w:color="000000" w:sz="4" w:space="0"/>
            </w:tcBorders>
            <w:vAlign w:val="center"/>
          </w:tcPr>
          <w:p w14:paraId="5B2CB78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1.搭建服务器（设备由甲方提供）</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2.满足医院使用要求</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3.用于HIS等备用业务系统</w:t>
            </w:r>
          </w:p>
        </w:tc>
        <w:tc>
          <w:tcPr>
            <w:tcW w:w="264" w:type="pct"/>
            <w:tcBorders>
              <w:top w:val="single" w:color="000000" w:sz="4" w:space="0"/>
              <w:left w:val="single" w:color="000000" w:sz="4" w:space="0"/>
              <w:bottom w:val="single" w:color="000000" w:sz="4" w:space="0"/>
              <w:right w:val="single" w:color="000000" w:sz="4" w:space="0"/>
            </w:tcBorders>
            <w:vAlign w:val="center"/>
          </w:tcPr>
          <w:p w14:paraId="01127CA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vAlign w:val="center"/>
          </w:tcPr>
          <w:p w14:paraId="400E59D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5BDDA90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服务器业主提供</w:t>
            </w:r>
          </w:p>
        </w:tc>
      </w:tr>
      <w:tr w14:paraId="59D039D7">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041A209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559" w:type="pct"/>
            <w:tcBorders>
              <w:top w:val="single" w:color="000000" w:sz="4" w:space="0"/>
              <w:left w:val="single" w:color="000000" w:sz="4" w:space="0"/>
              <w:bottom w:val="single" w:color="000000" w:sz="4" w:space="0"/>
              <w:right w:val="single" w:color="000000" w:sz="4" w:space="0"/>
            </w:tcBorders>
            <w:vAlign w:val="center"/>
          </w:tcPr>
          <w:p w14:paraId="0096091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数据备份服务</w:t>
            </w:r>
          </w:p>
        </w:tc>
        <w:tc>
          <w:tcPr>
            <w:tcW w:w="3211" w:type="pct"/>
            <w:tcBorders>
              <w:top w:val="single" w:color="000000" w:sz="4" w:space="0"/>
              <w:left w:val="single" w:color="000000" w:sz="4" w:space="0"/>
              <w:bottom w:val="single" w:color="000000" w:sz="4" w:space="0"/>
              <w:right w:val="single" w:color="000000" w:sz="4" w:space="0"/>
            </w:tcBorders>
            <w:vAlign w:val="center"/>
          </w:tcPr>
          <w:p w14:paraId="3FFB937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1.技术要求：每季度至少巡检一次并提供原厂巡检报告。巡检内容：包含但不限于整体运行情况、容灾备份情况、备份恢复演练等。</w:t>
            </w:r>
          </w:p>
        </w:tc>
        <w:tc>
          <w:tcPr>
            <w:tcW w:w="264" w:type="pct"/>
            <w:tcBorders>
              <w:top w:val="single" w:color="000000" w:sz="4" w:space="0"/>
              <w:left w:val="single" w:color="000000" w:sz="4" w:space="0"/>
              <w:bottom w:val="single" w:color="000000" w:sz="4" w:space="0"/>
              <w:right w:val="single" w:color="000000" w:sz="4" w:space="0"/>
            </w:tcBorders>
            <w:vAlign w:val="center"/>
          </w:tcPr>
          <w:p w14:paraId="6A5E38B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年</w:t>
            </w:r>
          </w:p>
        </w:tc>
        <w:tc>
          <w:tcPr>
            <w:tcW w:w="245" w:type="pct"/>
            <w:tcBorders>
              <w:top w:val="single" w:color="000000" w:sz="4" w:space="0"/>
              <w:left w:val="single" w:color="000000" w:sz="4" w:space="0"/>
              <w:bottom w:val="single" w:color="000000" w:sz="4" w:space="0"/>
              <w:right w:val="single" w:color="000000" w:sz="4" w:space="0"/>
            </w:tcBorders>
            <w:vAlign w:val="center"/>
          </w:tcPr>
          <w:p w14:paraId="21B5B33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487" w:type="pct"/>
            <w:tcBorders>
              <w:top w:val="single" w:color="000000" w:sz="4" w:space="0"/>
              <w:left w:val="single" w:color="000000" w:sz="4" w:space="0"/>
              <w:bottom w:val="single" w:color="000000" w:sz="4" w:space="0"/>
              <w:right w:val="single" w:color="000000" w:sz="4" w:space="0"/>
            </w:tcBorders>
            <w:vAlign w:val="center"/>
          </w:tcPr>
          <w:p w14:paraId="16AB9333">
            <w:pPr>
              <w:adjustRightInd/>
              <w:snapToGrid/>
              <w:spacing w:line="240" w:lineRule="auto"/>
              <w:ind w:firstLine="0" w:firstLineChars="0"/>
              <w:jc w:val="left"/>
              <w:rPr>
                <w:rFonts w:hint="eastAsia" w:eastAsia="宋体" w:cs="宋体"/>
                <w:color w:val="000000"/>
                <w:spacing w:val="0"/>
                <w:sz w:val="20"/>
                <w:szCs w:val="20"/>
              </w:rPr>
            </w:pPr>
          </w:p>
        </w:tc>
      </w:tr>
      <w:tr w14:paraId="78A727D8">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vAlign w:val="center"/>
          </w:tcPr>
          <w:p w14:paraId="2251C18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w:t>
            </w:r>
          </w:p>
        </w:tc>
        <w:tc>
          <w:tcPr>
            <w:tcW w:w="559" w:type="pct"/>
            <w:tcBorders>
              <w:top w:val="single" w:color="000000" w:sz="4" w:space="0"/>
              <w:left w:val="single" w:color="000000" w:sz="4" w:space="0"/>
              <w:bottom w:val="single" w:color="000000" w:sz="4" w:space="0"/>
              <w:right w:val="single" w:color="000000" w:sz="4" w:space="0"/>
            </w:tcBorders>
            <w:vAlign w:val="center"/>
          </w:tcPr>
          <w:p w14:paraId="4C0D235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应用备份技术服务</w:t>
            </w:r>
          </w:p>
        </w:tc>
        <w:tc>
          <w:tcPr>
            <w:tcW w:w="3211" w:type="pct"/>
            <w:tcBorders>
              <w:top w:val="single" w:color="000000" w:sz="4" w:space="0"/>
              <w:left w:val="single" w:color="000000" w:sz="4" w:space="0"/>
              <w:bottom w:val="single" w:color="000000" w:sz="4" w:space="0"/>
              <w:right w:val="single" w:color="000000" w:sz="4" w:space="0"/>
            </w:tcBorders>
            <w:vAlign w:val="center"/>
          </w:tcPr>
          <w:p w14:paraId="17BA205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1.设备上架</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2.网络环境部署</w:t>
            </w:r>
          </w:p>
        </w:tc>
        <w:tc>
          <w:tcPr>
            <w:tcW w:w="264" w:type="pct"/>
            <w:tcBorders>
              <w:top w:val="single" w:color="000000" w:sz="4" w:space="0"/>
              <w:left w:val="single" w:color="000000" w:sz="4" w:space="0"/>
              <w:bottom w:val="single" w:color="000000" w:sz="4" w:space="0"/>
              <w:right w:val="single" w:color="000000" w:sz="4" w:space="0"/>
            </w:tcBorders>
            <w:vAlign w:val="center"/>
          </w:tcPr>
          <w:p w14:paraId="668BD529">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vAlign w:val="center"/>
          </w:tcPr>
          <w:p w14:paraId="087215D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06748859">
            <w:pPr>
              <w:adjustRightInd/>
              <w:snapToGrid/>
              <w:spacing w:line="240" w:lineRule="auto"/>
              <w:ind w:firstLine="0" w:firstLineChars="0"/>
              <w:jc w:val="left"/>
              <w:rPr>
                <w:rFonts w:hint="eastAsia" w:eastAsia="宋体" w:cs="宋体"/>
                <w:color w:val="000000"/>
                <w:spacing w:val="0"/>
                <w:sz w:val="20"/>
                <w:szCs w:val="20"/>
              </w:rPr>
            </w:pPr>
          </w:p>
        </w:tc>
      </w:tr>
      <w:tr w14:paraId="1FA1C6D2">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70792431">
            <w:pPr>
              <w:adjustRightInd/>
              <w:snapToGrid/>
              <w:spacing w:line="240" w:lineRule="auto"/>
              <w:ind w:firstLine="0" w:firstLineChars="0"/>
              <w:jc w:val="left"/>
              <w:rPr>
                <w:rFonts w:hint="eastAsia" w:eastAsia="宋体" w:cs="宋体"/>
                <w:color w:val="000000"/>
                <w:spacing w:val="0"/>
                <w:sz w:val="20"/>
                <w:szCs w:val="20"/>
              </w:rPr>
            </w:pPr>
            <w:r>
              <w:rPr>
                <w:rFonts w:hint="eastAsia" w:eastAsia="宋体" w:cs="宋体"/>
                <w:b/>
                <w:bCs/>
                <w:color w:val="000000"/>
                <w:spacing w:val="0"/>
                <w:kern w:val="0"/>
                <w:sz w:val="20"/>
                <w:szCs w:val="20"/>
                <w:lang w:bidi="ar"/>
              </w:rPr>
              <w:t>七、综合布线系统</w:t>
            </w:r>
          </w:p>
        </w:tc>
      </w:tr>
      <w:tr w14:paraId="22460184">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917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7C0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24芯室外单模光纤</w:t>
            </w:r>
          </w:p>
        </w:tc>
        <w:tc>
          <w:tcPr>
            <w:tcW w:w="3211" w:type="pct"/>
            <w:tcBorders>
              <w:top w:val="single" w:color="000000" w:sz="4" w:space="0"/>
              <w:left w:val="single" w:color="000000" w:sz="4" w:space="0"/>
              <w:bottom w:val="single" w:color="000000" w:sz="4" w:space="0"/>
              <w:right w:val="single" w:color="000000" w:sz="4" w:space="0"/>
            </w:tcBorders>
            <w:shd w:val="clear" w:color="auto" w:fill="FFFFFF"/>
          </w:tcPr>
          <w:p w14:paraId="348133DB">
            <w:pPr>
              <w:widowControl/>
              <w:adjustRightInd/>
              <w:snapToGrid/>
              <w:spacing w:line="240" w:lineRule="auto"/>
              <w:ind w:firstLine="0" w:firstLineChars="0"/>
              <w:jc w:val="left"/>
              <w:textAlignment w:val="top"/>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1.采用扎纹钢带铠装护套和钢丝加强件，抗拉、抗压，具有良好的机械性能</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2.外护套采用聚乙烯PE料，添加UV防晒材料，具有抗UV、耐高低温、不易老化</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3.管内间隙填充特种油膏保护光纤同时有效防水。内套和护套之间的间隙填充复合物连续填充特种防水化合物。</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4.允许拉伸力（N）：长期500，短期1000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5.压扁力（N/100mm）：长期300，短期1000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6.弯曲半径：长期30D，短期15D</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7.储存、使用温度：－40℃～70℃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8.光纤衰减: OS2: 1310nm≤ 0.36 dB/km,1550≤0.23 dB/km</w:t>
            </w:r>
          </w:p>
          <w:p w14:paraId="22B8ABBF">
            <w:pPr>
              <w:widowControl/>
              <w:adjustRightInd/>
              <w:snapToGrid/>
              <w:spacing w:line="240" w:lineRule="auto"/>
              <w:ind w:firstLine="0" w:firstLineChars="0"/>
              <w:jc w:val="left"/>
              <w:textAlignment w:val="top"/>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OM1：852nm≤3.0 dB/km，1300nm≤ 1.0 dB/km</w:t>
            </w:r>
          </w:p>
          <w:p w14:paraId="0AE5990A">
            <w:pPr>
              <w:widowControl/>
              <w:adjustRightInd/>
              <w:snapToGrid/>
              <w:spacing w:line="240" w:lineRule="auto"/>
              <w:ind w:firstLine="0" w:firstLineChars="0"/>
              <w:jc w:val="left"/>
              <w:textAlignment w:val="top"/>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 xml:space="preserve">OM2：852nm≤3.0 dB/km，1300nm≤ 1.0 dB/km </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OM3：852nm≤3.0 dB/km，1300nm≤ 1.0 dB/km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质量保证：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1.提供原厂三年质保服务</w:t>
            </w:r>
          </w:p>
          <w:p w14:paraId="167F2086">
            <w:pPr>
              <w:widowControl/>
              <w:adjustRightInd/>
              <w:snapToGrid/>
              <w:spacing w:line="240" w:lineRule="auto"/>
              <w:ind w:firstLine="0" w:firstLineChars="0"/>
              <w:jc w:val="left"/>
              <w:textAlignment w:val="top"/>
              <w:rPr>
                <w:rFonts w:hint="eastAsia" w:eastAsia="宋体" w:cs="宋体"/>
                <w:color w:val="000000"/>
                <w:spacing w:val="0"/>
                <w:sz w:val="20"/>
                <w:szCs w:val="20"/>
              </w:rPr>
            </w:pPr>
            <w:r>
              <w:rPr>
                <w:rFonts w:hint="eastAsia" w:eastAsia="宋体" w:cs="宋体"/>
                <w:color w:val="000000"/>
                <w:spacing w:val="0"/>
                <w:kern w:val="0"/>
                <w:sz w:val="20"/>
                <w:szCs w:val="20"/>
                <w:lang w:bidi="ar"/>
              </w:rPr>
              <w:t>2.提供技术参数及功能的证明材料</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3.质量标准：提供具有CMA、CNAS、ilac-MRA认可的检测机构的检测光缆链路测试报告（24芯单模）、提供具有CMA、CNAS、ilac-MRA认可的检测机构的符合ITU-T G.657、ITU-T G.652标准的测试报告（24芯单模）</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20D82C8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122E3C02">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2000</w:t>
            </w:r>
          </w:p>
        </w:tc>
        <w:tc>
          <w:tcPr>
            <w:tcW w:w="487" w:type="pct"/>
            <w:tcBorders>
              <w:top w:val="single" w:color="000000" w:sz="4" w:space="0"/>
              <w:left w:val="single" w:color="000000" w:sz="4" w:space="0"/>
              <w:bottom w:val="single" w:color="000000" w:sz="4" w:space="0"/>
              <w:right w:val="single" w:color="000000" w:sz="4" w:space="0"/>
            </w:tcBorders>
            <w:vAlign w:val="center"/>
          </w:tcPr>
          <w:p w14:paraId="1748D177">
            <w:pPr>
              <w:adjustRightInd/>
              <w:snapToGrid/>
              <w:spacing w:line="240" w:lineRule="auto"/>
              <w:ind w:firstLine="0" w:firstLineChars="0"/>
              <w:jc w:val="left"/>
              <w:rPr>
                <w:rFonts w:hint="eastAsia" w:eastAsia="宋体" w:cs="宋体"/>
                <w:color w:val="000000"/>
                <w:spacing w:val="0"/>
                <w:sz w:val="20"/>
                <w:szCs w:val="20"/>
              </w:rPr>
            </w:pPr>
          </w:p>
        </w:tc>
      </w:tr>
      <w:tr w14:paraId="1E0BCC07">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14:paraId="2D8EC96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559" w:type="pct"/>
            <w:tcBorders>
              <w:top w:val="single" w:color="000000" w:sz="4" w:space="0"/>
              <w:left w:val="single" w:color="000000" w:sz="4" w:space="0"/>
              <w:bottom w:val="single" w:color="000000" w:sz="4" w:space="0"/>
              <w:right w:val="single" w:color="000000" w:sz="4" w:space="0"/>
            </w:tcBorders>
            <w:noWrap/>
            <w:vAlign w:val="center"/>
          </w:tcPr>
          <w:p w14:paraId="060CF96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24口光纤ODF架</w:t>
            </w:r>
          </w:p>
        </w:tc>
        <w:tc>
          <w:tcPr>
            <w:tcW w:w="3211" w:type="pct"/>
            <w:tcBorders>
              <w:top w:val="single" w:color="000000" w:sz="4" w:space="0"/>
              <w:left w:val="single" w:color="000000" w:sz="4" w:space="0"/>
              <w:bottom w:val="single" w:color="000000" w:sz="4" w:space="0"/>
              <w:right w:val="single" w:color="000000" w:sz="4" w:space="0"/>
            </w:tcBorders>
            <w:vAlign w:val="center"/>
          </w:tcPr>
          <w:p w14:paraId="5DCEC920">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1.外观：灰白色（烤漆）；磨砂；</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2.材质：优质冷轧板</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3.抽屉式结构</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4.内置熔纤盘</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5.标准19英寸机架式，24口</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6.工作温度：-40~+85℃</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7.执行标准：TIA-568C.3-2008(光缆布线组件标准）</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8.适用接口：SC/LC/FC/ST等光纤连接器</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2E2659A1">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B44B66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w:t>
            </w:r>
          </w:p>
        </w:tc>
        <w:tc>
          <w:tcPr>
            <w:tcW w:w="487" w:type="pct"/>
            <w:tcBorders>
              <w:top w:val="single" w:color="000000" w:sz="4" w:space="0"/>
              <w:left w:val="single" w:color="000000" w:sz="4" w:space="0"/>
              <w:bottom w:val="single" w:color="000000" w:sz="4" w:space="0"/>
              <w:right w:val="single" w:color="000000" w:sz="4" w:space="0"/>
            </w:tcBorders>
            <w:vAlign w:val="center"/>
          </w:tcPr>
          <w:p w14:paraId="617C8838">
            <w:pPr>
              <w:adjustRightInd/>
              <w:snapToGrid/>
              <w:spacing w:line="240" w:lineRule="auto"/>
              <w:ind w:firstLine="0" w:firstLineChars="0"/>
              <w:jc w:val="left"/>
              <w:rPr>
                <w:rFonts w:hint="eastAsia" w:eastAsia="宋体" w:cs="宋体"/>
                <w:color w:val="000000"/>
                <w:spacing w:val="0"/>
                <w:sz w:val="20"/>
                <w:szCs w:val="20"/>
              </w:rPr>
            </w:pPr>
          </w:p>
        </w:tc>
      </w:tr>
      <w:tr w14:paraId="5B5B06E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14:paraId="7ED90FD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3</w:t>
            </w:r>
          </w:p>
        </w:tc>
        <w:tc>
          <w:tcPr>
            <w:tcW w:w="559" w:type="pct"/>
            <w:tcBorders>
              <w:top w:val="single" w:color="000000" w:sz="4" w:space="0"/>
              <w:left w:val="single" w:color="000000" w:sz="4" w:space="0"/>
              <w:bottom w:val="single" w:color="000000" w:sz="4" w:space="0"/>
              <w:right w:val="single" w:color="000000" w:sz="4" w:space="0"/>
            </w:tcBorders>
            <w:vAlign w:val="center"/>
          </w:tcPr>
          <w:p w14:paraId="13A956F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48口光纤ODF架</w:t>
            </w:r>
          </w:p>
        </w:tc>
        <w:tc>
          <w:tcPr>
            <w:tcW w:w="3211" w:type="pct"/>
            <w:tcBorders>
              <w:top w:val="single" w:color="000000" w:sz="4" w:space="0"/>
              <w:left w:val="single" w:color="000000" w:sz="4" w:space="0"/>
              <w:bottom w:val="single" w:color="000000" w:sz="4" w:space="0"/>
              <w:right w:val="single" w:color="000000" w:sz="4" w:space="0"/>
            </w:tcBorders>
            <w:vAlign w:val="center"/>
          </w:tcPr>
          <w:p w14:paraId="0CAB1F89">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1.外观：灰白色（烤漆）；磨砂；</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2.材质：优质冷轧板</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3.抽屉式结构</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4.内置熔纤盘</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5.标准19英寸机架式，48口</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6.工作温度：-40~+85℃</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7.执行标准：TIA-568C.3-2008(光缆布线组件标准）</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8.适用接口：SC/LC/FC/ST等光纤连接器</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2129EED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2F5A21C">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2DF3243A">
            <w:pPr>
              <w:adjustRightInd/>
              <w:snapToGrid/>
              <w:spacing w:line="240" w:lineRule="auto"/>
              <w:ind w:firstLine="0" w:firstLineChars="0"/>
              <w:jc w:val="left"/>
              <w:rPr>
                <w:rFonts w:hint="eastAsia" w:eastAsia="宋体" w:cs="宋体"/>
                <w:color w:val="000000"/>
                <w:spacing w:val="0"/>
                <w:sz w:val="20"/>
                <w:szCs w:val="20"/>
              </w:rPr>
            </w:pPr>
          </w:p>
        </w:tc>
      </w:tr>
      <w:tr w14:paraId="0C008B2B">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14:paraId="18A30C6A">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w:t>
            </w:r>
          </w:p>
        </w:tc>
        <w:tc>
          <w:tcPr>
            <w:tcW w:w="559" w:type="pct"/>
            <w:tcBorders>
              <w:top w:val="single" w:color="000000" w:sz="4" w:space="0"/>
              <w:left w:val="single" w:color="000000" w:sz="4" w:space="0"/>
              <w:bottom w:val="single" w:color="000000" w:sz="4" w:space="0"/>
              <w:right w:val="single" w:color="000000" w:sz="4" w:space="0"/>
            </w:tcBorders>
            <w:vAlign w:val="center"/>
          </w:tcPr>
          <w:p w14:paraId="122FEBC8">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48芯室外单模光纤</w:t>
            </w:r>
          </w:p>
        </w:tc>
        <w:tc>
          <w:tcPr>
            <w:tcW w:w="3211" w:type="pct"/>
            <w:tcBorders>
              <w:top w:val="single" w:color="000000" w:sz="4" w:space="0"/>
              <w:left w:val="single" w:color="000000" w:sz="4" w:space="0"/>
              <w:bottom w:val="single" w:color="000000" w:sz="4" w:space="0"/>
              <w:right w:val="single" w:color="000000" w:sz="4" w:space="0"/>
            </w:tcBorders>
            <w:vAlign w:val="center"/>
          </w:tcPr>
          <w:p w14:paraId="2CF27171">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1.采用扎纹钢带铠装护套和钢丝加强件，抗拉、抗压，具有良好的机械性能</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2.外护套采用聚乙烯PE料，添加UV防晒材料，具有抗UV、耐高低温、不易老化</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3.管内间隙填充特种油膏保护光纤同时有效防水。内套和护套之间的间隙填充复合物连续填充特种防水化合物。</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4.允许拉伸力（N）：长期500，短期1000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5.压扁力（N/100mm）：长期300，短期1000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6.弯曲半径：长期30D，短期15D</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7.储存、使用温度：－40℃～70℃</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8.光纤衰减: OS2: 1310nm≤ 0.36 dB/km,1550≤0.23 dB/km</w:t>
            </w:r>
          </w:p>
          <w:p w14:paraId="16A6CEB0">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OM1：852nm≤3.0 dB/km，1300nm≤ 1.0 dB/km</w:t>
            </w:r>
          </w:p>
          <w:p w14:paraId="4B84E42D">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 xml:space="preserve">OM2：852nm≤3.0 dB/km，1300nm≤ 1.0 dB/km </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OM3：852nm≤3.0 dB/km，1300nm≤ 1.0 dB/km</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质量保证：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1.提供原厂三年质保服务</w:t>
            </w:r>
          </w:p>
          <w:p w14:paraId="36E57FD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2.提供技术参数及功能的证明材料</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3.质量标准：提供具有CMA、CNAS、ilac-MRA认可的检测机构的检测光缆链路测试报告（48芯单模）、提供具有CMA、CNAS、ilac-MRA认可的检测机构的符合ITU-T G.657、ITU-T G.652标准的测试报告（48芯单模）</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5FCA8180">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米</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5C51658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1200</w:t>
            </w:r>
          </w:p>
        </w:tc>
        <w:tc>
          <w:tcPr>
            <w:tcW w:w="487" w:type="pct"/>
            <w:tcBorders>
              <w:top w:val="single" w:color="000000" w:sz="4" w:space="0"/>
              <w:left w:val="single" w:color="000000" w:sz="4" w:space="0"/>
              <w:bottom w:val="single" w:color="000000" w:sz="4" w:space="0"/>
              <w:right w:val="single" w:color="000000" w:sz="4" w:space="0"/>
            </w:tcBorders>
            <w:vAlign w:val="center"/>
          </w:tcPr>
          <w:p w14:paraId="3C66B0D0">
            <w:pPr>
              <w:adjustRightInd/>
              <w:snapToGrid/>
              <w:spacing w:line="240" w:lineRule="auto"/>
              <w:ind w:firstLine="0" w:firstLineChars="0"/>
              <w:jc w:val="left"/>
              <w:rPr>
                <w:rFonts w:hint="eastAsia" w:eastAsia="宋体" w:cs="宋体"/>
                <w:color w:val="000000"/>
                <w:spacing w:val="0"/>
                <w:sz w:val="20"/>
                <w:szCs w:val="20"/>
              </w:rPr>
            </w:pPr>
          </w:p>
        </w:tc>
      </w:tr>
      <w:tr w14:paraId="1C4649F4">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14:paraId="4569C18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5</w:t>
            </w:r>
          </w:p>
        </w:tc>
        <w:tc>
          <w:tcPr>
            <w:tcW w:w="559" w:type="pct"/>
            <w:tcBorders>
              <w:top w:val="single" w:color="000000" w:sz="4" w:space="0"/>
              <w:left w:val="single" w:color="000000" w:sz="4" w:space="0"/>
              <w:bottom w:val="single" w:color="000000" w:sz="4" w:space="0"/>
              <w:right w:val="single" w:color="000000" w:sz="4" w:space="0"/>
            </w:tcBorders>
            <w:vAlign w:val="center"/>
          </w:tcPr>
          <w:p w14:paraId="7C41F334">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48口光纤ODF架</w:t>
            </w:r>
          </w:p>
        </w:tc>
        <w:tc>
          <w:tcPr>
            <w:tcW w:w="3211" w:type="pct"/>
            <w:tcBorders>
              <w:top w:val="single" w:color="000000" w:sz="4" w:space="0"/>
              <w:left w:val="single" w:color="000000" w:sz="4" w:space="0"/>
              <w:bottom w:val="single" w:color="000000" w:sz="4" w:space="0"/>
              <w:right w:val="single" w:color="000000" w:sz="4" w:space="0"/>
            </w:tcBorders>
            <w:vAlign w:val="center"/>
          </w:tcPr>
          <w:p w14:paraId="5C21B93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1.外观：灰白色（烤漆）；磨砂；</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2.材质：优质冷轧板</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3.抽屉式结构</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4.内置熔纤盘</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5.标准19英寸机架式，48口</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6.工作温度：-40~+85℃</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7.执行标准：TIA-568C.3-2008(光缆布线组件标准）</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8.适用接口：SC/LC/FC/ST等光纤连接器</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C34F09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台</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1AA660E">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4</w:t>
            </w:r>
          </w:p>
        </w:tc>
        <w:tc>
          <w:tcPr>
            <w:tcW w:w="487" w:type="pct"/>
            <w:tcBorders>
              <w:top w:val="single" w:color="000000" w:sz="4" w:space="0"/>
              <w:left w:val="single" w:color="000000" w:sz="4" w:space="0"/>
              <w:bottom w:val="single" w:color="000000" w:sz="4" w:space="0"/>
              <w:right w:val="single" w:color="000000" w:sz="4" w:space="0"/>
            </w:tcBorders>
            <w:vAlign w:val="center"/>
          </w:tcPr>
          <w:p w14:paraId="1D39933A">
            <w:pPr>
              <w:adjustRightInd/>
              <w:snapToGrid/>
              <w:spacing w:line="240" w:lineRule="auto"/>
              <w:ind w:firstLine="0" w:firstLineChars="0"/>
              <w:jc w:val="left"/>
              <w:rPr>
                <w:rFonts w:hint="eastAsia" w:eastAsia="宋体" w:cs="宋体"/>
                <w:color w:val="000000"/>
                <w:spacing w:val="0"/>
                <w:sz w:val="20"/>
                <w:szCs w:val="20"/>
              </w:rPr>
            </w:pPr>
          </w:p>
        </w:tc>
      </w:tr>
      <w:tr w14:paraId="72F1A880">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14:paraId="7472568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6</w:t>
            </w:r>
          </w:p>
        </w:tc>
        <w:tc>
          <w:tcPr>
            <w:tcW w:w="559" w:type="pct"/>
            <w:tcBorders>
              <w:top w:val="single" w:color="000000" w:sz="4" w:space="0"/>
              <w:left w:val="single" w:color="000000" w:sz="4" w:space="0"/>
              <w:bottom w:val="single" w:color="000000" w:sz="4" w:space="0"/>
              <w:right w:val="single" w:color="000000" w:sz="4" w:space="0"/>
            </w:tcBorders>
            <w:vAlign w:val="center"/>
          </w:tcPr>
          <w:p w14:paraId="2E7F7A13">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光纤跳纤</w:t>
            </w:r>
          </w:p>
        </w:tc>
        <w:tc>
          <w:tcPr>
            <w:tcW w:w="3211" w:type="pct"/>
            <w:tcBorders>
              <w:top w:val="single" w:color="000000" w:sz="4" w:space="0"/>
              <w:left w:val="single" w:color="000000" w:sz="4" w:space="0"/>
              <w:bottom w:val="single" w:color="000000" w:sz="4" w:space="0"/>
              <w:right w:val="single" w:color="000000" w:sz="4" w:space="0"/>
            </w:tcBorders>
            <w:vAlign w:val="center"/>
          </w:tcPr>
          <w:p w14:paraId="2E35FF44">
            <w:pPr>
              <w:widowControl/>
              <w:adjustRightInd/>
              <w:snapToGrid/>
              <w:spacing w:line="240" w:lineRule="auto"/>
              <w:ind w:firstLine="0" w:firstLineChars="0"/>
              <w:jc w:val="left"/>
              <w:textAlignment w:val="center"/>
              <w:rPr>
                <w:rFonts w:hint="eastAsia" w:eastAsia="宋体" w:cs="宋体"/>
                <w:color w:val="000000"/>
                <w:spacing w:val="0"/>
                <w:kern w:val="0"/>
                <w:sz w:val="20"/>
                <w:szCs w:val="20"/>
                <w:lang w:bidi="ar"/>
              </w:rPr>
            </w:pPr>
            <w:r>
              <w:rPr>
                <w:rFonts w:hint="eastAsia" w:eastAsia="宋体" w:cs="宋体"/>
                <w:color w:val="000000"/>
                <w:spacing w:val="0"/>
                <w:kern w:val="0"/>
                <w:sz w:val="20"/>
                <w:szCs w:val="20"/>
                <w:lang w:bidi="ar"/>
              </w:rPr>
              <w:t>技术参数：</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1.接头类型包括ST、SC 、LC、FC, MPO等跳线及混合跳线等；</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2.接头材料：陶瓷套管</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3.重复插拔：≤0.2dB，每500次插拔</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4.插入损耗：SM≤0.3dB，MM≤0.3dB</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5.回波损耗：≥50dB</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6.线缆结构由原来的基础上增加了导光光纤，内置导光光纤，在两端线身上留有光源输入口，无需拔插可通过任意的可见光照明装置快速定位线缆两端的关系（提供产品画册或者产品演示）</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质量保证：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1.提供原厂三年质保服务</w:t>
            </w:r>
          </w:p>
          <w:p w14:paraId="4A81561F">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2.提供技术参数及功能的证明材料</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3.重要功能：具备一键巡线功能，提供具有CMA、CNAS、ilac-MRA认可的检测机构检测的寻线功能测试报告</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4.质量标准：提供具有CMA、CNAS、ilac-MRA认可的检测机构检测的链路测试报告</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3E3348FB">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批</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69DF6AD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272D6E04">
            <w:pPr>
              <w:adjustRightInd/>
              <w:snapToGrid/>
              <w:spacing w:line="240" w:lineRule="auto"/>
              <w:ind w:firstLine="0" w:firstLineChars="0"/>
              <w:jc w:val="left"/>
              <w:rPr>
                <w:rFonts w:hint="eastAsia" w:eastAsia="宋体" w:cs="宋体"/>
                <w:color w:val="000000"/>
                <w:spacing w:val="0"/>
                <w:sz w:val="20"/>
                <w:szCs w:val="20"/>
              </w:rPr>
            </w:pPr>
          </w:p>
        </w:tc>
      </w:tr>
      <w:tr w14:paraId="6F9792CC">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14:paraId="2C54CB1D">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7</w:t>
            </w:r>
          </w:p>
        </w:tc>
        <w:tc>
          <w:tcPr>
            <w:tcW w:w="559" w:type="pct"/>
            <w:tcBorders>
              <w:top w:val="single" w:color="000000" w:sz="4" w:space="0"/>
              <w:left w:val="single" w:color="000000" w:sz="4" w:space="0"/>
              <w:bottom w:val="single" w:color="000000" w:sz="4" w:space="0"/>
              <w:right w:val="single" w:color="000000" w:sz="4" w:space="0"/>
            </w:tcBorders>
            <w:vAlign w:val="center"/>
          </w:tcPr>
          <w:p w14:paraId="3CD4530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辅材</w:t>
            </w:r>
          </w:p>
        </w:tc>
        <w:tc>
          <w:tcPr>
            <w:tcW w:w="3211" w:type="pct"/>
            <w:tcBorders>
              <w:top w:val="single" w:color="000000" w:sz="4" w:space="0"/>
              <w:left w:val="nil"/>
              <w:bottom w:val="single" w:color="000000" w:sz="4" w:space="0"/>
              <w:right w:val="nil"/>
            </w:tcBorders>
            <w:vAlign w:val="center"/>
          </w:tcPr>
          <w:p w14:paraId="61C8B5C2">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1.配件：各种接头、扎带、膨胀、胶布、自攻螺丝、穿线器等</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6B449D14">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批</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7729F1BF">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7FFDFEDA">
            <w:pPr>
              <w:adjustRightInd/>
              <w:snapToGrid/>
              <w:spacing w:line="240" w:lineRule="auto"/>
              <w:ind w:firstLine="0" w:firstLineChars="0"/>
              <w:jc w:val="left"/>
              <w:rPr>
                <w:rFonts w:hint="eastAsia" w:eastAsia="宋体" w:cs="宋体"/>
                <w:color w:val="000000"/>
                <w:spacing w:val="0"/>
                <w:sz w:val="20"/>
                <w:szCs w:val="20"/>
              </w:rPr>
            </w:pPr>
          </w:p>
        </w:tc>
      </w:tr>
      <w:tr w14:paraId="47684EE4">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14:paraId="2A8E01E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8</w:t>
            </w:r>
          </w:p>
        </w:tc>
        <w:tc>
          <w:tcPr>
            <w:tcW w:w="559" w:type="pct"/>
            <w:tcBorders>
              <w:top w:val="single" w:color="000000" w:sz="4" w:space="0"/>
              <w:left w:val="single" w:color="000000" w:sz="4" w:space="0"/>
              <w:bottom w:val="single" w:color="000000" w:sz="4" w:space="0"/>
              <w:right w:val="single" w:color="000000" w:sz="4" w:space="0"/>
            </w:tcBorders>
            <w:vAlign w:val="center"/>
          </w:tcPr>
          <w:p w14:paraId="44A1EB9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通信光缆施工</w:t>
            </w:r>
          </w:p>
        </w:tc>
        <w:tc>
          <w:tcPr>
            <w:tcW w:w="3211" w:type="pct"/>
            <w:tcBorders>
              <w:top w:val="single" w:color="000000" w:sz="4" w:space="0"/>
              <w:left w:val="single" w:color="000000" w:sz="4" w:space="0"/>
              <w:bottom w:val="single" w:color="000000" w:sz="4" w:space="0"/>
              <w:right w:val="single" w:color="000000" w:sz="4" w:space="0"/>
            </w:tcBorders>
            <w:vAlign w:val="center"/>
          </w:tcPr>
          <w:p w14:paraId="32277917">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光纤部署：</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1.灾备机房-数据中心机房（2条48芯光纤）</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2.24芯光纤部署：灾备机房-1号楼；灾备机房-2号楼（完成割接）；灾备机房-3号楼（完成割接）；灾备机房-四合院（完成割接）；灾备机房-科教楼；灾备机房-机关楼。</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3.技术要求：暗敷</w:t>
            </w:r>
          </w:p>
        </w:tc>
        <w:tc>
          <w:tcPr>
            <w:tcW w:w="264" w:type="pct"/>
            <w:tcBorders>
              <w:top w:val="single" w:color="000000" w:sz="4" w:space="0"/>
              <w:left w:val="single" w:color="000000" w:sz="4" w:space="0"/>
              <w:bottom w:val="single" w:color="000000" w:sz="4" w:space="0"/>
              <w:right w:val="single" w:color="000000" w:sz="4" w:space="0"/>
            </w:tcBorders>
            <w:vAlign w:val="center"/>
          </w:tcPr>
          <w:p w14:paraId="0172EB08">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vAlign w:val="center"/>
          </w:tcPr>
          <w:p w14:paraId="6D1DC4F5">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7BA72088">
            <w:pPr>
              <w:adjustRightInd/>
              <w:snapToGrid/>
              <w:spacing w:line="240" w:lineRule="auto"/>
              <w:ind w:firstLine="0" w:firstLineChars="0"/>
              <w:jc w:val="left"/>
              <w:rPr>
                <w:rFonts w:hint="eastAsia" w:eastAsia="宋体" w:cs="宋体"/>
                <w:color w:val="000000"/>
                <w:spacing w:val="0"/>
                <w:sz w:val="20"/>
                <w:szCs w:val="20"/>
              </w:rPr>
            </w:pPr>
          </w:p>
        </w:tc>
      </w:tr>
      <w:tr w14:paraId="3DE112A0">
        <w:tblPrEx>
          <w:tblCellMar>
            <w:top w:w="0" w:type="dxa"/>
            <w:left w:w="108" w:type="dxa"/>
            <w:bottom w:w="0" w:type="dxa"/>
            <w:right w:w="108" w:type="dxa"/>
          </w:tblCellMar>
        </w:tblPrEx>
        <w:trPr>
          <w:trHeight w:val="420" w:hRule="atLeast"/>
        </w:trPr>
        <w:tc>
          <w:tcPr>
            <w:tcW w:w="230" w:type="pct"/>
            <w:tcBorders>
              <w:top w:val="single" w:color="000000" w:sz="4" w:space="0"/>
              <w:left w:val="single" w:color="000000" w:sz="4" w:space="0"/>
              <w:bottom w:val="single" w:color="000000" w:sz="4" w:space="0"/>
              <w:right w:val="single" w:color="000000" w:sz="4" w:space="0"/>
            </w:tcBorders>
            <w:noWrap/>
            <w:vAlign w:val="center"/>
          </w:tcPr>
          <w:p w14:paraId="49FF6E63">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9</w:t>
            </w:r>
          </w:p>
        </w:tc>
        <w:tc>
          <w:tcPr>
            <w:tcW w:w="559" w:type="pct"/>
            <w:tcBorders>
              <w:top w:val="single" w:color="000000" w:sz="4" w:space="0"/>
              <w:left w:val="single" w:color="000000" w:sz="4" w:space="0"/>
              <w:bottom w:val="single" w:color="000000" w:sz="4" w:space="0"/>
              <w:right w:val="single" w:color="000000" w:sz="4" w:space="0"/>
            </w:tcBorders>
            <w:vAlign w:val="center"/>
          </w:tcPr>
          <w:p w14:paraId="79BD44C1">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部署要求</w:t>
            </w:r>
          </w:p>
        </w:tc>
        <w:tc>
          <w:tcPr>
            <w:tcW w:w="3211" w:type="pct"/>
            <w:tcBorders>
              <w:top w:val="single" w:color="000000" w:sz="4" w:space="0"/>
              <w:left w:val="single" w:color="000000" w:sz="4" w:space="0"/>
              <w:bottom w:val="single" w:color="000000" w:sz="4" w:space="0"/>
              <w:right w:val="single" w:color="000000" w:sz="4" w:space="0"/>
            </w:tcBorders>
            <w:vAlign w:val="center"/>
          </w:tcPr>
          <w:p w14:paraId="69514EAC">
            <w:pPr>
              <w:widowControl/>
              <w:adjustRightInd/>
              <w:snapToGrid/>
              <w:spacing w:line="240" w:lineRule="auto"/>
              <w:ind w:firstLine="0" w:firstLineChars="0"/>
              <w:jc w:val="left"/>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主干网络采用双核心、双汇聚、万兆至接入层，其中核心交换机在数据中心机房与灾备机房进行异地部署；双核心、双汇聚采用虚拟化做堆叠，各汇聚层双链路万兆链接至双核心，接入层交换机双链路接至双汇聚，完成网络割接</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2.原有数据机房做为灾备机房，配合完成原数据机房内服务器、超融合、存储、医院各业务系统、网络设备、网络安全设备搬迁；</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 xml:space="preserve">3.根据原数据机房情况，编制详细割接及实施方案，并经过甲方评审。                         </w:t>
            </w:r>
            <w:r>
              <w:rPr>
                <w:rFonts w:hint="eastAsia" w:eastAsia="宋体" w:cs="宋体"/>
                <w:color w:val="000000"/>
                <w:spacing w:val="0"/>
                <w:kern w:val="0"/>
                <w:sz w:val="20"/>
                <w:szCs w:val="20"/>
                <w:lang w:bidi="ar"/>
              </w:rPr>
              <w:br w:type="textWrapping"/>
            </w:r>
            <w:r>
              <w:rPr>
                <w:rFonts w:hint="eastAsia" w:eastAsia="宋体" w:cs="宋体"/>
                <w:color w:val="000000"/>
                <w:spacing w:val="0"/>
                <w:kern w:val="0"/>
                <w:sz w:val="20"/>
                <w:szCs w:val="20"/>
                <w:lang w:bidi="ar"/>
              </w:rPr>
              <w:t>4.按照用户要求的时间及时对网络、网络安全系统、医院业务系统进行割接并及时恢复，部署相关数据备份和应用备份。</w:t>
            </w:r>
          </w:p>
        </w:tc>
        <w:tc>
          <w:tcPr>
            <w:tcW w:w="264" w:type="pct"/>
            <w:tcBorders>
              <w:top w:val="single" w:color="000000" w:sz="4" w:space="0"/>
              <w:left w:val="single" w:color="000000" w:sz="4" w:space="0"/>
              <w:bottom w:val="single" w:color="000000" w:sz="4" w:space="0"/>
              <w:right w:val="single" w:color="000000" w:sz="4" w:space="0"/>
            </w:tcBorders>
            <w:noWrap/>
            <w:vAlign w:val="center"/>
          </w:tcPr>
          <w:p w14:paraId="0E7730D6">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项</w:t>
            </w:r>
          </w:p>
        </w:tc>
        <w:tc>
          <w:tcPr>
            <w:tcW w:w="245" w:type="pct"/>
            <w:tcBorders>
              <w:top w:val="single" w:color="000000" w:sz="4" w:space="0"/>
              <w:left w:val="single" w:color="000000" w:sz="4" w:space="0"/>
              <w:bottom w:val="single" w:color="000000" w:sz="4" w:space="0"/>
              <w:right w:val="single" w:color="000000" w:sz="4" w:space="0"/>
            </w:tcBorders>
            <w:noWrap/>
            <w:vAlign w:val="center"/>
          </w:tcPr>
          <w:p w14:paraId="2E40FD77">
            <w:pPr>
              <w:widowControl/>
              <w:adjustRightInd/>
              <w:snapToGrid/>
              <w:spacing w:line="240" w:lineRule="auto"/>
              <w:ind w:firstLine="0" w:firstLineChars="0"/>
              <w:jc w:val="center"/>
              <w:textAlignment w:val="center"/>
              <w:rPr>
                <w:rFonts w:hint="eastAsia" w:eastAsia="宋体" w:cs="宋体"/>
                <w:color w:val="000000"/>
                <w:spacing w:val="0"/>
                <w:sz w:val="20"/>
                <w:szCs w:val="20"/>
              </w:rPr>
            </w:pPr>
            <w:r>
              <w:rPr>
                <w:rFonts w:hint="eastAsia" w:eastAsia="宋体" w:cs="宋体"/>
                <w:color w:val="000000"/>
                <w:spacing w:val="0"/>
                <w:kern w:val="0"/>
                <w:sz w:val="20"/>
                <w:szCs w:val="20"/>
                <w:lang w:bidi="ar"/>
              </w:rPr>
              <w:t>1</w:t>
            </w:r>
          </w:p>
        </w:tc>
        <w:tc>
          <w:tcPr>
            <w:tcW w:w="487" w:type="pct"/>
            <w:tcBorders>
              <w:top w:val="single" w:color="000000" w:sz="4" w:space="0"/>
              <w:left w:val="single" w:color="000000" w:sz="4" w:space="0"/>
              <w:bottom w:val="single" w:color="000000" w:sz="4" w:space="0"/>
              <w:right w:val="single" w:color="000000" w:sz="4" w:space="0"/>
            </w:tcBorders>
            <w:vAlign w:val="center"/>
          </w:tcPr>
          <w:p w14:paraId="1A0C79E0">
            <w:pPr>
              <w:adjustRightInd/>
              <w:snapToGrid/>
              <w:spacing w:line="240" w:lineRule="auto"/>
              <w:ind w:firstLine="0" w:firstLineChars="0"/>
              <w:jc w:val="left"/>
              <w:rPr>
                <w:rFonts w:hint="eastAsia" w:eastAsia="宋体" w:cs="宋体"/>
                <w:color w:val="000000"/>
                <w:spacing w:val="0"/>
                <w:sz w:val="20"/>
                <w:szCs w:val="20"/>
              </w:rPr>
            </w:pPr>
          </w:p>
        </w:tc>
      </w:tr>
    </w:tbl>
    <w:p w14:paraId="73046A84">
      <w:pPr>
        <w:ind w:firstLine="0" w:firstLineChars="0"/>
        <w:rPr>
          <w:rFonts w:hint="eastAsia" w:eastAsia="宋体" w:cs="宋体"/>
          <w:b/>
          <w:bCs/>
          <w:color w:val="000000"/>
          <w:spacing w:val="0"/>
          <w:kern w:val="0"/>
          <w:szCs w:val="24"/>
        </w:rPr>
      </w:pPr>
    </w:p>
    <w:p w14:paraId="62B84569">
      <w:pPr>
        <w:pStyle w:val="2"/>
        <w:rPr>
          <w:rFonts w:hint="eastAsia"/>
        </w:rPr>
      </w:pPr>
    </w:p>
    <w:p w14:paraId="0B977EE2">
      <w:pPr>
        <w:rPr>
          <w:rFonts w:hint="eastAsia"/>
        </w:rPr>
      </w:pPr>
    </w:p>
    <w:sectPr>
      <w:pgSz w:w="16838" w:h="11906" w:orient="landscape"/>
      <w:pgMar w:top="1797" w:right="1440" w:bottom="1797" w:left="1440" w:header="851" w:footer="992" w:gutter="0"/>
      <w:pgBorders>
        <w:top w:val="single" w:color="auto" w:sz="4" w:space="1"/>
        <w:bottom w:val="single" w:color="auto" w:sz="4" w:space="1"/>
      </w:pgBorders>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2821">
    <w:pPr>
      <w:pStyle w:val="15"/>
      <w:ind w:firstLine="0" w:firstLineChars="0"/>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0C21E">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C0C21E">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IT设备、数据库、应用系统国产化（第二期）</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1AB9D">
    <w:pPr>
      <w:pStyle w:val="15"/>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B7859">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C0B7859">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644B7">
    <w:pPr>
      <w:pStyle w:val="15"/>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EB4D5">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54EB4D5">
                    <w:pPr>
                      <w:pStyle w:val="15"/>
                      <w:pBdr>
                        <w:top w:val="none" w:color="auto" w:sz="0" w:space="1"/>
                        <w:left w:val="none" w:color="auto" w:sz="0" w:space="4"/>
                        <w:bottom w:val="single" w:color="auto" w:sz="4" w:space="1"/>
                        <w:right w:val="none" w:color="auto" w:sz="0" w:space="4"/>
                      </w:pBdr>
                      <w:ind w:firstLine="360"/>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20"/>
      </w:pPr>
      <w:r>
        <w:separator/>
      </w:r>
    </w:p>
  </w:footnote>
  <w:footnote w:type="continuationSeparator" w:id="1">
    <w:p>
      <w:pPr>
        <w:spacing w:line="36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17531">
    <w:pPr>
      <w:pStyle w:val="1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6ADBA"/>
    <w:multiLevelType w:val="singleLevel"/>
    <w:tmpl w:val="C266ADBA"/>
    <w:lvl w:ilvl="0" w:tentative="0">
      <w:start w:val="1"/>
      <w:numFmt w:val="decimal"/>
      <w:suff w:val="space"/>
      <w:lvlText w:val="%1."/>
      <w:lvlJc w:val="left"/>
    </w:lvl>
  </w:abstractNum>
  <w:abstractNum w:abstractNumId="1">
    <w:nsid w:val="09080D9C"/>
    <w:multiLevelType w:val="multilevel"/>
    <w:tmpl w:val="09080D9C"/>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0C027C9B"/>
    <w:multiLevelType w:val="singleLevel"/>
    <w:tmpl w:val="0C027C9B"/>
    <w:lvl w:ilvl="0" w:tentative="0">
      <w:start w:val="1"/>
      <w:numFmt w:val="decimal"/>
      <w:lvlText w:val="%1."/>
      <w:lvlJc w:val="left"/>
      <w:pPr>
        <w:tabs>
          <w:tab w:val="left" w:pos="312"/>
        </w:tabs>
      </w:pPr>
    </w:lvl>
  </w:abstractNum>
  <w:abstractNum w:abstractNumId="3">
    <w:nsid w:val="16D201E4"/>
    <w:multiLevelType w:val="singleLevel"/>
    <w:tmpl w:val="16D201E4"/>
    <w:lvl w:ilvl="0" w:tentative="0">
      <w:start w:val="1"/>
      <w:numFmt w:val="decimal"/>
      <w:lvlText w:val="(%1)"/>
      <w:lvlJc w:val="left"/>
      <w:pPr>
        <w:ind w:left="425" w:hanging="425"/>
      </w:pPr>
      <w:rPr>
        <w:rFonts w:hint="default"/>
      </w:rPr>
    </w:lvl>
  </w:abstractNum>
  <w:abstractNum w:abstractNumId="4">
    <w:nsid w:val="26E0D185"/>
    <w:multiLevelType w:val="singleLevel"/>
    <w:tmpl w:val="26E0D185"/>
    <w:lvl w:ilvl="0" w:tentative="0">
      <w:start w:val="1"/>
      <w:numFmt w:val="decimal"/>
      <w:lvlText w:val="%1."/>
      <w:lvlJc w:val="left"/>
      <w:pPr>
        <w:tabs>
          <w:tab w:val="left" w:pos="312"/>
        </w:tabs>
      </w:pPr>
    </w:lvl>
  </w:abstractNum>
  <w:abstractNum w:abstractNumId="5">
    <w:nsid w:val="53E4173A"/>
    <w:multiLevelType w:val="singleLevel"/>
    <w:tmpl w:val="53E4173A"/>
    <w:lvl w:ilvl="0" w:tentative="0">
      <w:start w:val="1"/>
      <w:numFmt w:val="decimal"/>
      <w:suff w:val="nothing"/>
      <w:lvlText w:val="%1、"/>
      <w:lvlJc w:val="left"/>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WE2ZWRlZTg2MDBkYjA0YjlkNDJkY2U3Yjc1ZjAifQ=="/>
  </w:docVars>
  <w:rsids>
    <w:rsidRoot w:val="0BEF0CA1"/>
    <w:rsid w:val="00005627"/>
    <w:rsid w:val="00011C73"/>
    <w:rsid w:val="000165D0"/>
    <w:rsid w:val="00023560"/>
    <w:rsid w:val="00037F72"/>
    <w:rsid w:val="000421D8"/>
    <w:rsid w:val="0004521A"/>
    <w:rsid w:val="00046608"/>
    <w:rsid w:val="0005037B"/>
    <w:rsid w:val="00060779"/>
    <w:rsid w:val="000642B7"/>
    <w:rsid w:val="00064F11"/>
    <w:rsid w:val="0006714D"/>
    <w:rsid w:val="000705A4"/>
    <w:rsid w:val="000728F1"/>
    <w:rsid w:val="00076859"/>
    <w:rsid w:val="00080B3C"/>
    <w:rsid w:val="00085551"/>
    <w:rsid w:val="000978EC"/>
    <w:rsid w:val="000A1A52"/>
    <w:rsid w:val="000A2774"/>
    <w:rsid w:val="000A2F14"/>
    <w:rsid w:val="000A38FB"/>
    <w:rsid w:val="000A41FD"/>
    <w:rsid w:val="000B3101"/>
    <w:rsid w:val="000B555A"/>
    <w:rsid w:val="000C12A3"/>
    <w:rsid w:val="000D7F1D"/>
    <w:rsid w:val="000F653A"/>
    <w:rsid w:val="00110E27"/>
    <w:rsid w:val="00111E25"/>
    <w:rsid w:val="0012053F"/>
    <w:rsid w:val="00126497"/>
    <w:rsid w:val="00136D3C"/>
    <w:rsid w:val="0014480A"/>
    <w:rsid w:val="00145CD6"/>
    <w:rsid w:val="00155831"/>
    <w:rsid w:val="00156AAE"/>
    <w:rsid w:val="001573E7"/>
    <w:rsid w:val="001A5898"/>
    <w:rsid w:val="001B3C48"/>
    <w:rsid w:val="001D11BD"/>
    <w:rsid w:val="001F07AA"/>
    <w:rsid w:val="001F2268"/>
    <w:rsid w:val="001F2A43"/>
    <w:rsid w:val="00212800"/>
    <w:rsid w:val="00214E4A"/>
    <w:rsid w:val="00217165"/>
    <w:rsid w:val="00220BD0"/>
    <w:rsid w:val="00222BF1"/>
    <w:rsid w:val="00240AE6"/>
    <w:rsid w:val="00244D2A"/>
    <w:rsid w:val="00247001"/>
    <w:rsid w:val="00251C0D"/>
    <w:rsid w:val="00253CF5"/>
    <w:rsid w:val="0025713B"/>
    <w:rsid w:val="002704BE"/>
    <w:rsid w:val="00274C61"/>
    <w:rsid w:val="00287B7B"/>
    <w:rsid w:val="002A172C"/>
    <w:rsid w:val="002A5063"/>
    <w:rsid w:val="002A7B69"/>
    <w:rsid w:val="002A7F5A"/>
    <w:rsid w:val="002B0803"/>
    <w:rsid w:val="002B57D4"/>
    <w:rsid w:val="002C2362"/>
    <w:rsid w:val="002C27D2"/>
    <w:rsid w:val="002D075A"/>
    <w:rsid w:val="002D3024"/>
    <w:rsid w:val="002D361C"/>
    <w:rsid w:val="002E0C0A"/>
    <w:rsid w:val="002E513C"/>
    <w:rsid w:val="002F0D65"/>
    <w:rsid w:val="00300F59"/>
    <w:rsid w:val="00301053"/>
    <w:rsid w:val="00301E3E"/>
    <w:rsid w:val="00304663"/>
    <w:rsid w:val="00314244"/>
    <w:rsid w:val="00314EB7"/>
    <w:rsid w:val="00321D6E"/>
    <w:rsid w:val="00325B85"/>
    <w:rsid w:val="00325C01"/>
    <w:rsid w:val="0036047C"/>
    <w:rsid w:val="00365652"/>
    <w:rsid w:val="00371510"/>
    <w:rsid w:val="00372F25"/>
    <w:rsid w:val="00374EFC"/>
    <w:rsid w:val="003767B4"/>
    <w:rsid w:val="00380C4E"/>
    <w:rsid w:val="003B0DD2"/>
    <w:rsid w:val="003B11DA"/>
    <w:rsid w:val="003C399F"/>
    <w:rsid w:val="003D4777"/>
    <w:rsid w:val="003D5E60"/>
    <w:rsid w:val="003D7403"/>
    <w:rsid w:val="003E19BB"/>
    <w:rsid w:val="003E461D"/>
    <w:rsid w:val="00402B27"/>
    <w:rsid w:val="00405E24"/>
    <w:rsid w:val="00414916"/>
    <w:rsid w:val="00423DD6"/>
    <w:rsid w:val="004313FD"/>
    <w:rsid w:val="0043693A"/>
    <w:rsid w:val="00445BC4"/>
    <w:rsid w:val="004503C1"/>
    <w:rsid w:val="0046125D"/>
    <w:rsid w:val="004613C4"/>
    <w:rsid w:val="00470124"/>
    <w:rsid w:val="00477C33"/>
    <w:rsid w:val="00480696"/>
    <w:rsid w:val="004C3382"/>
    <w:rsid w:val="004D1F07"/>
    <w:rsid w:val="004D2EB4"/>
    <w:rsid w:val="004D4AD9"/>
    <w:rsid w:val="004E67BD"/>
    <w:rsid w:val="00504660"/>
    <w:rsid w:val="005324C3"/>
    <w:rsid w:val="00536B93"/>
    <w:rsid w:val="0055163D"/>
    <w:rsid w:val="00557D85"/>
    <w:rsid w:val="00564457"/>
    <w:rsid w:val="00571BAE"/>
    <w:rsid w:val="00575945"/>
    <w:rsid w:val="005761D9"/>
    <w:rsid w:val="00576E52"/>
    <w:rsid w:val="00580FF0"/>
    <w:rsid w:val="0058736F"/>
    <w:rsid w:val="00593B47"/>
    <w:rsid w:val="005975AA"/>
    <w:rsid w:val="005C6556"/>
    <w:rsid w:val="005D022F"/>
    <w:rsid w:val="005D1778"/>
    <w:rsid w:val="005D58D5"/>
    <w:rsid w:val="005E0D6E"/>
    <w:rsid w:val="005E30B9"/>
    <w:rsid w:val="005F3C3B"/>
    <w:rsid w:val="006011E6"/>
    <w:rsid w:val="00604D93"/>
    <w:rsid w:val="0060691C"/>
    <w:rsid w:val="00623043"/>
    <w:rsid w:val="00630D69"/>
    <w:rsid w:val="00632461"/>
    <w:rsid w:val="00632E15"/>
    <w:rsid w:val="00634176"/>
    <w:rsid w:val="00666AEA"/>
    <w:rsid w:val="00690C0B"/>
    <w:rsid w:val="00692E80"/>
    <w:rsid w:val="006B781F"/>
    <w:rsid w:val="006C4F22"/>
    <w:rsid w:val="006D3E11"/>
    <w:rsid w:val="006D3FDF"/>
    <w:rsid w:val="006D51F2"/>
    <w:rsid w:val="006E00B6"/>
    <w:rsid w:val="006E1314"/>
    <w:rsid w:val="006E2D45"/>
    <w:rsid w:val="006E63A6"/>
    <w:rsid w:val="006F350C"/>
    <w:rsid w:val="00710713"/>
    <w:rsid w:val="007120BB"/>
    <w:rsid w:val="007130C2"/>
    <w:rsid w:val="00733E37"/>
    <w:rsid w:val="00736BC2"/>
    <w:rsid w:val="007511C9"/>
    <w:rsid w:val="00754C8F"/>
    <w:rsid w:val="00765802"/>
    <w:rsid w:val="007A6E01"/>
    <w:rsid w:val="007B1B46"/>
    <w:rsid w:val="007B5C41"/>
    <w:rsid w:val="007E5E0A"/>
    <w:rsid w:val="007F103A"/>
    <w:rsid w:val="007F1BB5"/>
    <w:rsid w:val="007F6EC5"/>
    <w:rsid w:val="008110BC"/>
    <w:rsid w:val="00811AD0"/>
    <w:rsid w:val="00821194"/>
    <w:rsid w:val="00821BE1"/>
    <w:rsid w:val="00833361"/>
    <w:rsid w:val="00840DFA"/>
    <w:rsid w:val="0084657B"/>
    <w:rsid w:val="00852B60"/>
    <w:rsid w:val="00866624"/>
    <w:rsid w:val="00870012"/>
    <w:rsid w:val="00873EBB"/>
    <w:rsid w:val="008911E8"/>
    <w:rsid w:val="00892DC3"/>
    <w:rsid w:val="008968D2"/>
    <w:rsid w:val="008A2B78"/>
    <w:rsid w:val="00902D9C"/>
    <w:rsid w:val="00915D8B"/>
    <w:rsid w:val="009209EB"/>
    <w:rsid w:val="00920B45"/>
    <w:rsid w:val="00925687"/>
    <w:rsid w:val="009403FF"/>
    <w:rsid w:val="00941CE2"/>
    <w:rsid w:val="009610EE"/>
    <w:rsid w:val="00962CEC"/>
    <w:rsid w:val="00975DE4"/>
    <w:rsid w:val="00976CDC"/>
    <w:rsid w:val="00977216"/>
    <w:rsid w:val="00996184"/>
    <w:rsid w:val="00996DC4"/>
    <w:rsid w:val="009B34C6"/>
    <w:rsid w:val="009E7EDC"/>
    <w:rsid w:val="00A02101"/>
    <w:rsid w:val="00A2361D"/>
    <w:rsid w:val="00A23650"/>
    <w:rsid w:val="00A23D1E"/>
    <w:rsid w:val="00A36831"/>
    <w:rsid w:val="00A41CBE"/>
    <w:rsid w:val="00A5567F"/>
    <w:rsid w:val="00A7259C"/>
    <w:rsid w:val="00A72EB2"/>
    <w:rsid w:val="00A83512"/>
    <w:rsid w:val="00A84AD4"/>
    <w:rsid w:val="00A91A71"/>
    <w:rsid w:val="00AA0B40"/>
    <w:rsid w:val="00AB12E8"/>
    <w:rsid w:val="00AC00BA"/>
    <w:rsid w:val="00AD1400"/>
    <w:rsid w:val="00AE0D61"/>
    <w:rsid w:val="00AE4B4B"/>
    <w:rsid w:val="00AE6EBD"/>
    <w:rsid w:val="00AF65EA"/>
    <w:rsid w:val="00B21809"/>
    <w:rsid w:val="00B3436D"/>
    <w:rsid w:val="00B4328B"/>
    <w:rsid w:val="00B4368E"/>
    <w:rsid w:val="00B50FDC"/>
    <w:rsid w:val="00B535DD"/>
    <w:rsid w:val="00B53C9E"/>
    <w:rsid w:val="00B54F50"/>
    <w:rsid w:val="00B83598"/>
    <w:rsid w:val="00BB0458"/>
    <w:rsid w:val="00BB3556"/>
    <w:rsid w:val="00BC1BE8"/>
    <w:rsid w:val="00BE247D"/>
    <w:rsid w:val="00BE2543"/>
    <w:rsid w:val="00BE7D5C"/>
    <w:rsid w:val="00BF3D2F"/>
    <w:rsid w:val="00BF565A"/>
    <w:rsid w:val="00C0631E"/>
    <w:rsid w:val="00C10CA7"/>
    <w:rsid w:val="00C412A2"/>
    <w:rsid w:val="00C42504"/>
    <w:rsid w:val="00C52461"/>
    <w:rsid w:val="00C61E43"/>
    <w:rsid w:val="00C74479"/>
    <w:rsid w:val="00C959D4"/>
    <w:rsid w:val="00C96FE3"/>
    <w:rsid w:val="00C97379"/>
    <w:rsid w:val="00CA605E"/>
    <w:rsid w:val="00CD19EF"/>
    <w:rsid w:val="00CD21C8"/>
    <w:rsid w:val="00CE5D70"/>
    <w:rsid w:val="00D04E03"/>
    <w:rsid w:val="00D1331F"/>
    <w:rsid w:val="00D1787D"/>
    <w:rsid w:val="00D30666"/>
    <w:rsid w:val="00D4278B"/>
    <w:rsid w:val="00D56964"/>
    <w:rsid w:val="00D64D20"/>
    <w:rsid w:val="00D671B7"/>
    <w:rsid w:val="00D756D8"/>
    <w:rsid w:val="00D77404"/>
    <w:rsid w:val="00D77CE6"/>
    <w:rsid w:val="00DA041D"/>
    <w:rsid w:val="00DA6CAE"/>
    <w:rsid w:val="00DB62A7"/>
    <w:rsid w:val="00DC05C9"/>
    <w:rsid w:val="00DC54B3"/>
    <w:rsid w:val="00DE090B"/>
    <w:rsid w:val="00DE4259"/>
    <w:rsid w:val="00DE7C8C"/>
    <w:rsid w:val="00E05E30"/>
    <w:rsid w:val="00E1539F"/>
    <w:rsid w:val="00E23753"/>
    <w:rsid w:val="00E30BD1"/>
    <w:rsid w:val="00E31FA6"/>
    <w:rsid w:val="00E34008"/>
    <w:rsid w:val="00E356E0"/>
    <w:rsid w:val="00E56F3C"/>
    <w:rsid w:val="00E570D7"/>
    <w:rsid w:val="00E64B4E"/>
    <w:rsid w:val="00E7624E"/>
    <w:rsid w:val="00E809E5"/>
    <w:rsid w:val="00EA20DA"/>
    <w:rsid w:val="00EA7F53"/>
    <w:rsid w:val="00EB7484"/>
    <w:rsid w:val="00EB787A"/>
    <w:rsid w:val="00EC52B3"/>
    <w:rsid w:val="00ED4C9B"/>
    <w:rsid w:val="00ED553C"/>
    <w:rsid w:val="00EE353F"/>
    <w:rsid w:val="00EE5852"/>
    <w:rsid w:val="00EF3E7B"/>
    <w:rsid w:val="00EF6F82"/>
    <w:rsid w:val="00F1034F"/>
    <w:rsid w:val="00F1399F"/>
    <w:rsid w:val="00F20EC3"/>
    <w:rsid w:val="00F23E72"/>
    <w:rsid w:val="00F26758"/>
    <w:rsid w:val="00F40617"/>
    <w:rsid w:val="00F45CD0"/>
    <w:rsid w:val="00F464E1"/>
    <w:rsid w:val="00F56C4B"/>
    <w:rsid w:val="00F57D77"/>
    <w:rsid w:val="00F624DF"/>
    <w:rsid w:val="00F9169F"/>
    <w:rsid w:val="00FB7AA6"/>
    <w:rsid w:val="00FC2096"/>
    <w:rsid w:val="00FC5DC2"/>
    <w:rsid w:val="00FD00CC"/>
    <w:rsid w:val="00FD7D96"/>
    <w:rsid w:val="00FE67BE"/>
    <w:rsid w:val="0112235E"/>
    <w:rsid w:val="015D2F21"/>
    <w:rsid w:val="01690B38"/>
    <w:rsid w:val="01B97DC6"/>
    <w:rsid w:val="01E2289F"/>
    <w:rsid w:val="02BF5C83"/>
    <w:rsid w:val="040E3299"/>
    <w:rsid w:val="0425282F"/>
    <w:rsid w:val="04D01B62"/>
    <w:rsid w:val="0572735F"/>
    <w:rsid w:val="070C7A64"/>
    <w:rsid w:val="071301EA"/>
    <w:rsid w:val="07476999"/>
    <w:rsid w:val="075D07B0"/>
    <w:rsid w:val="07E866C1"/>
    <w:rsid w:val="07F71334"/>
    <w:rsid w:val="08B9637A"/>
    <w:rsid w:val="095435C8"/>
    <w:rsid w:val="09590288"/>
    <w:rsid w:val="098E18F0"/>
    <w:rsid w:val="0A730962"/>
    <w:rsid w:val="0B2F4CCC"/>
    <w:rsid w:val="0BC7741B"/>
    <w:rsid w:val="0BEF0CA1"/>
    <w:rsid w:val="0CD11D4F"/>
    <w:rsid w:val="0DF30E48"/>
    <w:rsid w:val="0DFC1FAF"/>
    <w:rsid w:val="0E2E7F42"/>
    <w:rsid w:val="0F723DBF"/>
    <w:rsid w:val="0FDC0B7B"/>
    <w:rsid w:val="10890561"/>
    <w:rsid w:val="112B4B27"/>
    <w:rsid w:val="11DB16F7"/>
    <w:rsid w:val="12084274"/>
    <w:rsid w:val="12152645"/>
    <w:rsid w:val="125420CD"/>
    <w:rsid w:val="125F568F"/>
    <w:rsid w:val="12AF3796"/>
    <w:rsid w:val="12BC195A"/>
    <w:rsid w:val="130F42F9"/>
    <w:rsid w:val="13727A61"/>
    <w:rsid w:val="142800F1"/>
    <w:rsid w:val="144B61C5"/>
    <w:rsid w:val="14AF10AD"/>
    <w:rsid w:val="1526749B"/>
    <w:rsid w:val="16C45E8A"/>
    <w:rsid w:val="16D848FA"/>
    <w:rsid w:val="175F5ED2"/>
    <w:rsid w:val="17877A09"/>
    <w:rsid w:val="185D3535"/>
    <w:rsid w:val="1AEB240F"/>
    <w:rsid w:val="1AFD3750"/>
    <w:rsid w:val="1BA92A6C"/>
    <w:rsid w:val="1D51693C"/>
    <w:rsid w:val="1DB02966"/>
    <w:rsid w:val="1DD315F6"/>
    <w:rsid w:val="1E090B5B"/>
    <w:rsid w:val="1F970A42"/>
    <w:rsid w:val="20005D86"/>
    <w:rsid w:val="22033AF9"/>
    <w:rsid w:val="22D61673"/>
    <w:rsid w:val="23051C2D"/>
    <w:rsid w:val="2355637B"/>
    <w:rsid w:val="23D26A5E"/>
    <w:rsid w:val="23DF225C"/>
    <w:rsid w:val="24894310"/>
    <w:rsid w:val="24B959FA"/>
    <w:rsid w:val="25207359"/>
    <w:rsid w:val="25966814"/>
    <w:rsid w:val="269B6379"/>
    <w:rsid w:val="26C30642"/>
    <w:rsid w:val="271D45A0"/>
    <w:rsid w:val="279509D1"/>
    <w:rsid w:val="2805647B"/>
    <w:rsid w:val="28F42CC8"/>
    <w:rsid w:val="2A2A0FA3"/>
    <w:rsid w:val="2A6B5B17"/>
    <w:rsid w:val="2A865490"/>
    <w:rsid w:val="2ABE30FE"/>
    <w:rsid w:val="2BC613C5"/>
    <w:rsid w:val="2BE5303F"/>
    <w:rsid w:val="2D62326F"/>
    <w:rsid w:val="2DB10405"/>
    <w:rsid w:val="2DB9735D"/>
    <w:rsid w:val="2F1A316B"/>
    <w:rsid w:val="2FC035C9"/>
    <w:rsid w:val="2FCB23AA"/>
    <w:rsid w:val="2FFB5F7E"/>
    <w:rsid w:val="311F5BA5"/>
    <w:rsid w:val="32E83CED"/>
    <w:rsid w:val="339B2753"/>
    <w:rsid w:val="34411866"/>
    <w:rsid w:val="34AF2E08"/>
    <w:rsid w:val="34BC705A"/>
    <w:rsid w:val="354B4DF1"/>
    <w:rsid w:val="36FE3DC9"/>
    <w:rsid w:val="371948CE"/>
    <w:rsid w:val="376F7377"/>
    <w:rsid w:val="37F3271D"/>
    <w:rsid w:val="380D7CB5"/>
    <w:rsid w:val="39355B82"/>
    <w:rsid w:val="3AA20D85"/>
    <w:rsid w:val="3AFD6245"/>
    <w:rsid w:val="3B0C09FC"/>
    <w:rsid w:val="3BAF1801"/>
    <w:rsid w:val="3BC2363E"/>
    <w:rsid w:val="3CEC404A"/>
    <w:rsid w:val="3D4F6B11"/>
    <w:rsid w:val="3DB44D7A"/>
    <w:rsid w:val="3DC35563"/>
    <w:rsid w:val="3E681C51"/>
    <w:rsid w:val="3E7D1BC0"/>
    <w:rsid w:val="3E8E72A4"/>
    <w:rsid w:val="3FD44CA2"/>
    <w:rsid w:val="400B29DD"/>
    <w:rsid w:val="40143A93"/>
    <w:rsid w:val="40C046DB"/>
    <w:rsid w:val="41802BE2"/>
    <w:rsid w:val="41C977E4"/>
    <w:rsid w:val="42EE1632"/>
    <w:rsid w:val="43146B2D"/>
    <w:rsid w:val="442D5AA9"/>
    <w:rsid w:val="443B36CB"/>
    <w:rsid w:val="4449014C"/>
    <w:rsid w:val="44694A95"/>
    <w:rsid w:val="44840DCF"/>
    <w:rsid w:val="44C06CF1"/>
    <w:rsid w:val="466D41CF"/>
    <w:rsid w:val="46771129"/>
    <w:rsid w:val="46C830DB"/>
    <w:rsid w:val="477648D2"/>
    <w:rsid w:val="48D15669"/>
    <w:rsid w:val="48DF4BE0"/>
    <w:rsid w:val="491A4851"/>
    <w:rsid w:val="497172BC"/>
    <w:rsid w:val="49946B7F"/>
    <w:rsid w:val="4B586650"/>
    <w:rsid w:val="4BA705B8"/>
    <w:rsid w:val="4BF12F55"/>
    <w:rsid w:val="4C4035C4"/>
    <w:rsid w:val="4C4A4AFD"/>
    <w:rsid w:val="4C544E82"/>
    <w:rsid w:val="4CA14DC3"/>
    <w:rsid w:val="4CEB7AF1"/>
    <w:rsid w:val="4D5E3470"/>
    <w:rsid w:val="4E60455B"/>
    <w:rsid w:val="4EBD1E45"/>
    <w:rsid w:val="4F6C6D0A"/>
    <w:rsid w:val="4FC83A95"/>
    <w:rsid w:val="50C5607C"/>
    <w:rsid w:val="51397790"/>
    <w:rsid w:val="52383F17"/>
    <w:rsid w:val="52FF6BA2"/>
    <w:rsid w:val="53AC6F2F"/>
    <w:rsid w:val="53B30C49"/>
    <w:rsid w:val="53B44DF8"/>
    <w:rsid w:val="53BF5D3E"/>
    <w:rsid w:val="54317CFA"/>
    <w:rsid w:val="54422C91"/>
    <w:rsid w:val="54431BE6"/>
    <w:rsid w:val="54B66C8D"/>
    <w:rsid w:val="55D73864"/>
    <w:rsid w:val="56064020"/>
    <w:rsid w:val="56154327"/>
    <w:rsid w:val="56F26A1B"/>
    <w:rsid w:val="56FC4557"/>
    <w:rsid w:val="579415D2"/>
    <w:rsid w:val="583C0700"/>
    <w:rsid w:val="58E108DC"/>
    <w:rsid w:val="59ED12DB"/>
    <w:rsid w:val="5AAD36DD"/>
    <w:rsid w:val="5AE12934"/>
    <w:rsid w:val="5AF75D19"/>
    <w:rsid w:val="5B1E34C1"/>
    <w:rsid w:val="5B9F3D6F"/>
    <w:rsid w:val="5C285ED6"/>
    <w:rsid w:val="5C5B1A35"/>
    <w:rsid w:val="5CAC69AD"/>
    <w:rsid w:val="5CB851EB"/>
    <w:rsid w:val="5CE25EEE"/>
    <w:rsid w:val="5D8626D1"/>
    <w:rsid w:val="5DD912C8"/>
    <w:rsid w:val="5E2D4DEB"/>
    <w:rsid w:val="5E3159CF"/>
    <w:rsid w:val="5E3F2F8D"/>
    <w:rsid w:val="5E753C59"/>
    <w:rsid w:val="5EE04E7B"/>
    <w:rsid w:val="5EF5177D"/>
    <w:rsid w:val="5FD8738E"/>
    <w:rsid w:val="60181A70"/>
    <w:rsid w:val="60281CDB"/>
    <w:rsid w:val="60D359AD"/>
    <w:rsid w:val="611831F6"/>
    <w:rsid w:val="61585249"/>
    <w:rsid w:val="61F168DA"/>
    <w:rsid w:val="620D5365"/>
    <w:rsid w:val="62AD316A"/>
    <w:rsid w:val="62E71ACA"/>
    <w:rsid w:val="63512B56"/>
    <w:rsid w:val="64DC1AC7"/>
    <w:rsid w:val="659811B8"/>
    <w:rsid w:val="663B46AF"/>
    <w:rsid w:val="663F56CE"/>
    <w:rsid w:val="666E773F"/>
    <w:rsid w:val="66D04237"/>
    <w:rsid w:val="66EA6989"/>
    <w:rsid w:val="66EB7D8E"/>
    <w:rsid w:val="68B8411E"/>
    <w:rsid w:val="68E00114"/>
    <w:rsid w:val="691D083C"/>
    <w:rsid w:val="69336325"/>
    <w:rsid w:val="6999595C"/>
    <w:rsid w:val="6BBE6A78"/>
    <w:rsid w:val="6C27697C"/>
    <w:rsid w:val="6C9B0ABC"/>
    <w:rsid w:val="6DF349DB"/>
    <w:rsid w:val="6E5B5A38"/>
    <w:rsid w:val="6E975DEB"/>
    <w:rsid w:val="6EEA6FDA"/>
    <w:rsid w:val="6F3A1C8E"/>
    <w:rsid w:val="6F625643"/>
    <w:rsid w:val="6FC909AE"/>
    <w:rsid w:val="70645B33"/>
    <w:rsid w:val="70C054CB"/>
    <w:rsid w:val="70D270B3"/>
    <w:rsid w:val="712B7D26"/>
    <w:rsid w:val="727928B2"/>
    <w:rsid w:val="72E9126D"/>
    <w:rsid w:val="72F0486A"/>
    <w:rsid w:val="73164B1F"/>
    <w:rsid w:val="737347C9"/>
    <w:rsid w:val="738054AB"/>
    <w:rsid w:val="73920130"/>
    <w:rsid w:val="73A932C2"/>
    <w:rsid w:val="74903746"/>
    <w:rsid w:val="75AE542D"/>
    <w:rsid w:val="76C52A95"/>
    <w:rsid w:val="775022F6"/>
    <w:rsid w:val="776907C3"/>
    <w:rsid w:val="777635F3"/>
    <w:rsid w:val="77786B76"/>
    <w:rsid w:val="77CC209C"/>
    <w:rsid w:val="77E63EC7"/>
    <w:rsid w:val="78BF3B74"/>
    <w:rsid w:val="79B02C94"/>
    <w:rsid w:val="79C95735"/>
    <w:rsid w:val="7A2E7D12"/>
    <w:rsid w:val="7A965EA7"/>
    <w:rsid w:val="7BE2774B"/>
    <w:rsid w:val="7CDF3EC9"/>
    <w:rsid w:val="7E4E10CF"/>
    <w:rsid w:val="7ED4791A"/>
    <w:rsid w:val="7F1B63EB"/>
    <w:rsid w:val="7F297604"/>
    <w:rsid w:val="7FE7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20" w:firstLineChars="200"/>
      <w:jc w:val="both"/>
    </w:pPr>
    <w:rPr>
      <w:rFonts w:ascii="宋体" w:hAnsi="宋体" w:eastAsia="仿宋" w:cs="Times New Roman"/>
      <w:spacing w:val="10"/>
      <w:kern w:val="2"/>
      <w:sz w:val="24"/>
      <w:szCs w:val="21"/>
      <w:lang w:val="en-US" w:eastAsia="zh-CN" w:bidi="ar-SA"/>
    </w:rPr>
  </w:style>
  <w:style w:type="paragraph" w:styleId="3">
    <w:name w:val="heading 1"/>
    <w:basedOn w:val="1"/>
    <w:next w:val="1"/>
    <w:qFormat/>
    <w:uiPriority w:val="0"/>
    <w:pPr>
      <w:keepNext/>
      <w:keepLines/>
      <w:pageBreakBefore/>
      <w:widowControl/>
      <w:numPr>
        <w:ilvl w:val="0"/>
        <w:numId w:val="1"/>
      </w:numPr>
      <w:ind w:firstLine="0" w:firstLineChars="0"/>
      <w:jc w:val="left"/>
      <w:outlineLvl w:val="0"/>
    </w:pPr>
    <w:rPr>
      <w:rFonts w:ascii="仿宋_GB2312" w:hAnsi="仿宋_GB2312" w:eastAsia="仿宋_GB2312"/>
      <w:b/>
      <w:bCs/>
      <w:kern w:val="0"/>
      <w:sz w:val="36"/>
      <w:szCs w:val="36"/>
    </w:rPr>
  </w:style>
  <w:style w:type="paragraph" w:styleId="4">
    <w:name w:val="heading 2"/>
    <w:basedOn w:val="1"/>
    <w:next w:val="1"/>
    <w:link w:val="31"/>
    <w:qFormat/>
    <w:uiPriority w:val="0"/>
    <w:pPr>
      <w:keepNext/>
      <w:keepLines/>
      <w:widowControl/>
      <w:numPr>
        <w:ilvl w:val="1"/>
        <w:numId w:val="1"/>
      </w:numPr>
      <w:shd w:val="clear" w:color="auto" w:fill="FFFFFF"/>
      <w:tabs>
        <w:tab w:val="left" w:pos="420"/>
      </w:tabs>
      <w:kinsoku w:val="0"/>
      <w:overflowPunct w:val="0"/>
      <w:autoSpaceDE w:val="0"/>
      <w:autoSpaceDN w:val="0"/>
      <w:ind w:firstLine="0" w:firstLineChars="0"/>
      <w:jc w:val="left"/>
      <w:textAlignment w:val="center"/>
      <w:outlineLvl w:val="1"/>
    </w:pPr>
    <w:rPr>
      <w:rFonts w:ascii="仿宋_GB2312" w:hAnsi="仿宋_GB2312"/>
      <w:b/>
      <w:bCs/>
      <w:sz w:val="30"/>
      <w:szCs w:val="28"/>
    </w:rPr>
  </w:style>
  <w:style w:type="paragraph" w:styleId="5">
    <w:name w:val="heading 3"/>
    <w:basedOn w:val="1"/>
    <w:next w:val="1"/>
    <w:link w:val="36"/>
    <w:unhideWhenUsed/>
    <w:qFormat/>
    <w:uiPriority w:val="0"/>
    <w:pPr>
      <w:keepNext/>
      <w:keepLines/>
      <w:numPr>
        <w:ilvl w:val="2"/>
        <w:numId w:val="1"/>
      </w:numPr>
      <w:ind w:firstLine="0" w:firstLineChars="0"/>
      <w:outlineLvl w:val="2"/>
    </w:pPr>
    <w:rPr>
      <w:b/>
      <w:sz w:val="30"/>
    </w:rPr>
  </w:style>
  <w:style w:type="paragraph" w:styleId="6">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b/>
      <w:sz w:val="30"/>
    </w:rPr>
  </w:style>
  <w:style w:type="paragraph" w:styleId="7">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99"/>
    <w:pPr>
      <w:spacing w:after="120"/>
    </w:pPr>
  </w:style>
  <w:style w:type="paragraph" w:styleId="12">
    <w:name w:val="Normal Indent"/>
    <w:basedOn w:val="1"/>
    <w:qFormat/>
    <w:uiPriority w:val="0"/>
    <w:pPr>
      <w:ind w:firstLine="200"/>
    </w:pPr>
    <w:rPr>
      <w:kern w:val="0"/>
    </w:rPr>
  </w:style>
  <w:style w:type="paragraph" w:styleId="13">
    <w:name w:val="caption"/>
    <w:basedOn w:val="1"/>
    <w:next w:val="1"/>
    <w:semiHidden/>
    <w:unhideWhenUsed/>
    <w:qFormat/>
    <w:uiPriority w:val="0"/>
    <w:rPr>
      <w:rFonts w:ascii="Arial" w:hAnsi="Arial" w:eastAsia="黑体"/>
      <w:sz w:val="20"/>
    </w:rPr>
  </w:style>
  <w:style w:type="paragraph" w:styleId="14">
    <w:name w:val="annotation text"/>
    <w:basedOn w:val="1"/>
    <w:link w:val="32"/>
    <w:uiPriority w:val="0"/>
    <w:pPr>
      <w:jc w:val="left"/>
    </w:pPr>
  </w:style>
  <w:style w:type="paragraph" w:styleId="15">
    <w:name w:val="footer"/>
    <w:basedOn w:val="1"/>
    <w:qFormat/>
    <w:uiPriority w:val="0"/>
    <w:pPr>
      <w:tabs>
        <w:tab w:val="center" w:pos="4153"/>
        <w:tab w:val="right" w:pos="8306"/>
      </w:tabs>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uiPriority w:val="99"/>
    <w:rPr>
      <w:rFonts w:ascii="Times New Roman" w:hAnsi="Times New Roman"/>
      <w:szCs w:val="24"/>
    </w:rPr>
  </w:style>
  <w:style w:type="paragraph" w:styleId="20">
    <w:name w:val="annotation subject"/>
    <w:basedOn w:val="14"/>
    <w:next w:val="14"/>
    <w:link w:val="33"/>
    <w:uiPriority w:val="0"/>
    <w:rPr>
      <w:b/>
      <w:bCs/>
    </w:rPr>
  </w:style>
  <w:style w:type="character" w:styleId="23">
    <w:name w:val="Hyperlink"/>
    <w:basedOn w:val="22"/>
    <w:unhideWhenUsed/>
    <w:uiPriority w:val="99"/>
    <w:rPr>
      <w:color w:val="0563C1"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正文"/>
    <w:basedOn w:val="1"/>
    <w:qFormat/>
    <w:uiPriority w:val="0"/>
    <w:pPr>
      <w:widowControl/>
      <w:ind w:firstLine="200"/>
    </w:pPr>
    <w:rPr>
      <w:rFonts w:ascii="仿宋_GB2312" w:hAnsi="Times New Roman" w:eastAsia="仿宋_GB2312"/>
      <w:spacing w:val="0"/>
      <w:szCs w:val="28"/>
    </w:rPr>
  </w:style>
  <w:style w:type="paragraph" w:customStyle="1" w:styleId="28">
    <w:name w:val="样式  + 首行缩进:  2 字符"/>
    <w:basedOn w:val="1"/>
    <w:qFormat/>
    <w:uiPriority w:val="99"/>
    <w:pPr>
      <w:ind w:firstLine="524"/>
    </w:pPr>
    <w:rPr>
      <w:snapToGrid w:val="0"/>
      <w:spacing w:val="11"/>
      <w:kern w:val="0"/>
      <w:szCs w:val="24"/>
    </w:rPr>
  </w:style>
  <w:style w:type="table" w:customStyle="1" w:styleId="29">
    <w:name w:val="Table Normal"/>
    <w:semiHidden/>
    <w:unhideWhenUsed/>
    <w:qFormat/>
    <w:uiPriority w:val="0"/>
    <w:tblPr>
      <w:tblCellMar>
        <w:top w:w="0" w:type="dxa"/>
        <w:left w:w="0" w:type="dxa"/>
        <w:bottom w:w="0" w:type="dxa"/>
        <w:right w:w="0" w:type="dxa"/>
      </w:tblCellMar>
    </w:tblPr>
  </w:style>
  <w:style w:type="table" w:customStyle="1" w:styleId="30">
    <w:name w:val="Table Normal1"/>
    <w:semiHidden/>
    <w:unhideWhenUsed/>
    <w:qFormat/>
    <w:uiPriority w:val="0"/>
    <w:tblPr>
      <w:tblCellMar>
        <w:top w:w="0" w:type="dxa"/>
        <w:left w:w="0" w:type="dxa"/>
        <w:bottom w:w="0" w:type="dxa"/>
        <w:right w:w="0" w:type="dxa"/>
      </w:tblCellMar>
    </w:tblPr>
  </w:style>
  <w:style w:type="character" w:customStyle="1" w:styleId="31">
    <w:name w:val="标题 2 字符"/>
    <w:basedOn w:val="22"/>
    <w:link w:val="4"/>
    <w:uiPriority w:val="0"/>
    <w:rPr>
      <w:rFonts w:ascii="仿宋_GB2312" w:hAnsi="仿宋_GB2312" w:eastAsia="仿宋" w:cs="Times New Roman"/>
      <w:b/>
      <w:bCs/>
      <w:spacing w:val="10"/>
      <w:kern w:val="2"/>
      <w:sz w:val="30"/>
      <w:szCs w:val="28"/>
      <w:shd w:val="clear" w:color="auto" w:fill="FFFFFF"/>
    </w:rPr>
  </w:style>
  <w:style w:type="character" w:customStyle="1" w:styleId="32">
    <w:name w:val="批注文字 字符"/>
    <w:basedOn w:val="22"/>
    <w:link w:val="14"/>
    <w:qFormat/>
    <w:uiPriority w:val="0"/>
    <w:rPr>
      <w:rFonts w:ascii="宋体" w:hAnsi="宋体" w:eastAsia="仿宋" w:cs="Times New Roman"/>
      <w:spacing w:val="10"/>
      <w:kern w:val="2"/>
      <w:sz w:val="24"/>
      <w:szCs w:val="21"/>
    </w:rPr>
  </w:style>
  <w:style w:type="character" w:customStyle="1" w:styleId="33">
    <w:name w:val="批注主题 字符"/>
    <w:basedOn w:val="32"/>
    <w:link w:val="20"/>
    <w:qFormat/>
    <w:uiPriority w:val="0"/>
    <w:rPr>
      <w:rFonts w:ascii="宋体" w:hAnsi="宋体" w:eastAsia="仿宋" w:cs="Times New Roman"/>
      <w:b/>
      <w:bCs/>
      <w:spacing w:val="10"/>
      <w:kern w:val="2"/>
      <w:sz w:val="24"/>
      <w:szCs w:val="21"/>
    </w:rPr>
  </w:style>
  <w:style w:type="paragraph" w:customStyle="1" w:styleId="34">
    <w:name w:val="Revision"/>
    <w:hidden/>
    <w:unhideWhenUsed/>
    <w:uiPriority w:val="99"/>
    <w:rPr>
      <w:rFonts w:ascii="宋体" w:hAnsi="宋体" w:eastAsia="仿宋" w:cs="Times New Roman"/>
      <w:spacing w:val="10"/>
      <w:kern w:val="2"/>
      <w:sz w:val="24"/>
      <w:szCs w:val="21"/>
      <w:lang w:val="en-US" w:eastAsia="zh-CN" w:bidi="ar-SA"/>
    </w:rPr>
  </w:style>
  <w:style w:type="character" w:customStyle="1" w:styleId="35">
    <w:name w:val="正文文本 字符"/>
    <w:basedOn w:val="22"/>
    <w:link w:val="2"/>
    <w:qFormat/>
    <w:uiPriority w:val="99"/>
    <w:rPr>
      <w:rFonts w:ascii="宋体" w:hAnsi="宋体" w:eastAsia="仿宋" w:cs="Times New Roman"/>
      <w:spacing w:val="10"/>
      <w:kern w:val="2"/>
      <w:sz w:val="24"/>
      <w:szCs w:val="21"/>
    </w:rPr>
  </w:style>
  <w:style w:type="character" w:customStyle="1" w:styleId="36">
    <w:name w:val="标题 3 字符"/>
    <w:basedOn w:val="22"/>
    <w:link w:val="5"/>
    <w:uiPriority w:val="0"/>
    <w:rPr>
      <w:rFonts w:ascii="宋体" w:hAnsi="宋体" w:eastAsia="仿宋" w:cs="Times New Roman"/>
      <w:b/>
      <w:spacing w:val="10"/>
      <w:kern w:val="2"/>
      <w:sz w:val="3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DBB99-31A4-4705-A825-F59C803E81BD}">
  <ds:schemaRefs/>
</ds:datastoreItem>
</file>

<file path=docProps/app.xml><?xml version="1.0" encoding="utf-8"?>
<Properties xmlns="http://schemas.openxmlformats.org/officeDocument/2006/extended-properties" xmlns:vt="http://schemas.openxmlformats.org/officeDocument/2006/docPropsVTypes">
  <Template>Normal.dotm</Template>
  <Company>中讯邮电咨询设计院有限公司</Company>
  <Pages>61</Pages>
  <Words>32164</Words>
  <Characters>35667</Characters>
  <Lines>289</Lines>
  <Paragraphs>81</Paragraphs>
  <TotalTime>3</TotalTime>
  <ScaleCrop>false</ScaleCrop>
  <LinksUpToDate>false</LinksUpToDate>
  <CharactersWithSpaces>36342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2024-08-05T05:28:00Z</dcterms:created>
  <dc:creator>TL</dc:creator>
  <cp:lastModifiedBy>小六</cp:lastModifiedBy>
  <dcterms:modified xsi:type="dcterms:W3CDTF">2024-10-17T02:04:15Z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91BB3D11CE6E4B28A5643F7EE3102061_13</vt:lpwstr>
  </property>
</Properties>
</file>