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E1DB4">
      <w:pPr>
        <w:spacing w:line="480" w:lineRule="exact"/>
        <w:ind w:right="640" w:firstLine="340" w:firstLineChars="100"/>
        <w:rPr>
          <w:rFonts w:hint="eastAsia" w:ascii="黑体" w:eastAsia="黑体"/>
          <w:b/>
          <w:bCs/>
          <w:sz w:val="32"/>
          <w:szCs w:val="20"/>
        </w:rPr>
      </w:pPr>
      <w:r>
        <w:rPr>
          <w:rFonts w:hint="eastAsia" w:ascii="黑体" w:eastAsia="黑体"/>
          <w:sz w:val="32"/>
          <w:szCs w:val="20"/>
        </w:rPr>
        <w:t xml:space="preserve">  </w:t>
      </w:r>
      <w:r>
        <w:rPr>
          <w:rFonts w:hint="eastAsia" w:ascii="黑体" w:eastAsia="黑体"/>
          <w:b/>
          <w:bCs/>
          <w:sz w:val="32"/>
          <w:szCs w:val="20"/>
        </w:rPr>
        <w:t xml:space="preserve">                                      </w:t>
      </w:r>
    </w:p>
    <w:p w14:paraId="13992F78">
      <w:pPr>
        <w:spacing w:line="620" w:lineRule="exact"/>
        <w:ind w:firstLine="763"/>
        <w:jc w:val="center"/>
        <w:rPr>
          <w:rFonts w:hint="eastAsia" w:ascii="黑体" w:eastAsia="黑体"/>
          <w:b/>
          <w:sz w:val="36"/>
          <w:szCs w:val="20"/>
        </w:rPr>
      </w:pPr>
    </w:p>
    <w:p w14:paraId="0E9C60D1">
      <w:pPr>
        <w:spacing w:line="620" w:lineRule="exact"/>
        <w:ind w:firstLine="763"/>
        <w:jc w:val="center"/>
        <w:rPr>
          <w:rFonts w:hint="eastAsia" w:ascii="黑体" w:eastAsia="黑体"/>
          <w:b/>
          <w:sz w:val="36"/>
          <w:szCs w:val="20"/>
        </w:rPr>
      </w:pPr>
    </w:p>
    <w:p w14:paraId="63D23553">
      <w:pPr>
        <w:spacing w:line="620" w:lineRule="exact"/>
        <w:ind w:firstLine="763"/>
        <w:jc w:val="center"/>
        <w:rPr>
          <w:rFonts w:hint="eastAsia" w:ascii="黑体" w:eastAsia="黑体"/>
          <w:b/>
          <w:sz w:val="36"/>
          <w:szCs w:val="20"/>
        </w:rPr>
      </w:pPr>
    </w:p>
    <w:p w14:paraId="19AEBDBA">
      <w:pPr>
        <w:spacing w:line="620" w:lineRule="exact"/>
        <w:ind w:firstLine="763"/>
        <w:jc w:val="center"/>
        <w:rPr>
          <w:rFonts w:hint="eastAsia" w:ascii="黑体" w:eastAsia="黑体"/>
          <w:b/>
          <w:sz w:val="36"/>
          <w:szCs w:val="20"/>
        </w:rPr>
      </w:pPr>
    </w:p>
    <w:p w14:paraId="73240470">
      <w:pPr>
        <w:spacing w:line="620" w:lineRule="exact"/>
        <w:ind w:firstLine="763"/>
        <w:jc w:val="center"/>
        <w:rPr>
          <w:rFonts w:hint="eastAsia" w:ascii="黑体" w:eastAsia="黑体"/>
          <w:b/>
          <w:sz w:val="36"/>
          <w:szCs w:val="20"/>
        </w:rPr>
      </w:pPr>
    </w:p>
    <w:p w14:paraId="27A4E20C">
      <w:pPr>
        <w:spacing w:line="620" w:lineRule="exact"/>
        <w:ind w:firstLine="763"/>
        <w:jc w:val="center"/>
        <w:rPr>
          <w:rFonts w:hint="eastAsia" w:ascii="黑体" w:eastAsia="黑体"/>
          <w:b/>
          <w:sz w:val="36"/>
          <w:szCs w:val="20"/>
        </w:rPr>
      </w:pPr>
    </w:p>
    <w:p w14:paraId="077646B7">
      <w:pPr>
        <w:spacing w:line="620" w:lineRule="exact"/>
        <w:ind w:firstLine="763"/>
        <w:jc w:val="center"/>
        <w:rPr>
          <w:rFonts w:hint="eastAsia" w:ascii="黑体" w:eastAsia="黑体"/>
          <w:b/>
          <w:sz w:val="36"/>
          <w:szCs w:val="20"/>
        </w:rPr>
      </w:pPr>
    </w:p>
    <w:p w14:paraId="46AC5C19">
      <w:pPr>
        <w:spacing w:line="620" w:lineRule="exact"/>
        <w:ind w:firstLine="763"/>
        <w:jc w:val="center"/>
        <w:rPr>
          <w:rFonts w:hint="eastAsia" w:ascii="黑体" w:eastAsia="黑体"/>
          <w:b/>
          <w:sz w:val="36"/>
          <w:szCs w:val="20"/>
        </w:rPr>
      </w:pPr>
      <w:r>
        <w:rPr>
          <w:rFonts w:hint="eastAsia" w:ascii="黑体" w:eastAsia="黑体"/>
          <w:b/>
          <w:sz w:val="36"/>
          <w:szCs w:val="20"/>
        </w:rPr>
        <w:t>移动输液</w:t>
      </w:r>
    </w:p>
    <w:p w14:paraId="66EABE39">
      <w:pPr>
        <w:spacing w:line="500" w:lineRule="exact"/>
        <w:ind w:firstLine="763"/>
        <w:jc w:val="center"/>
        <w:rPr>
          <w:rFonts w:hint="eastAsia" w:ascii="黑体" w:eastAsia="黑体"/>
          <w:b/>
          <w:sz w:val="36"/>
          <w:szCs w:val="20"/>
        </w:rPr>
      </w:pPr>
    </w:p>
    <w:p w14:paraId="00682AEB">
      <w:pPr>
        <w:spacing w:line="500" w:lineRule="exact"/>
        <w:ind w:firstLine="763"/>
        <w:jc w:val="center"/>
        <w:rPr>
          <w:rFonts w:hint="eastAsia" w:ascii="黑体" w:eastAsia="黑体"/>
          <w:b/>
          <w:sz w:val="36"/>
          <w:szCs w:val="20"/>
        </w:rPr>
      </w:pPr>
    </w:p>
    <w:p w14:paraId="74142323">
      <w:pPr>
        <w:spacing w:line="500" w:lineRule="exact"/>
        <w:ind w:firstLine="763"/>
        <w:jc w:val="center"/>
        <w:rPr>
          <w:rFonts w:hint="eastAsia" w:ascii="黑体" w:eastAsia="黑体"/>
          <w:b/>
          <w:sz w:val="36"/>
          <w:szCs w:val="20"/>
        </w:rPr>
      </w:pPr>
    </w:p>
    <w:p w14:paraId="28675F35">
      <w:pPr>
        <w:spacing w:line="500" w:lineRule="exact"/>
        <w:ind w:firstLine="763"/>
        <w:jc w:val="center"/>
        <w:rPr>
          <w:rFonts w:hint="eastAsia" w:ascii="黑体" w:eastAsia="黑体"/>
          <w:b/>
          <w:sz w:val="36"/>
          <w:szCs w:val="20"/>
        </w:rPr>
      </w:pPr>
    </w:p>
    <w:p w14:paraId="1FA59A4D">
      <w:pPr>
        <w:spacing w:line="500" w:lineRule="exact"/>
        <w:ind w:firstLine="763"/>
        <w:jc w:val="center"/>
        <w:rPr>
          <w:rFonts w:hint="eastAsia" w:ascii="黑体" w:eastAsia="黑体"/>
          <w:b/>
          <w:sz w:val="36"/>
          <w:szCs w:val="20"/>
        </w:rPr>
      </w:pPr>
    </w:p>
    <w:p w14:paraId="10935DFC">
      <w:pPr>
        <w:spacing w:line="500" w:lineRule="exact"/>
        <w:ind w:firstLine="763"/>
        <w:jc w:val="center"/>
        <w:rPr>
          <w:rFonts w:hint="eastAsia" w:ascii="黑体" w:eastAsia="黑体"/>
          <w:b/>
          <w:sz w:val="36"/>
          <w:szCs w:val="20"/>
        </w:rPr>
      </w:pPr>
    </w:p>
    <w:p w14:paraId="143EFE6F">
      <w:pPr>
        <w:spacing w:line="500" w:lineRule="exact"/>
        <w:ind w:firstLine="763"/>
        <w:jc w:val="center"/>
        <w:rPr>
          <w:rFonts w:hint="eastAsia" w:ascii="黑体" w:eastAsia="黑体"/>
          <w:b/>
          <w:sz w:val="36"/>
          <w:szCs w:val="20"/>
        </w:rPr>
      </w:pPr>
    </w:p>
    <w:p w14:paraId="41904F9B">
      <w:pPr>
        <w:pStyle w:val="3"/>
        <w:numPr>
          <w:ilvl w:val="0"/>
          <w:numId w:val="0"/>
        </w:numPr>
        <w:rPr>
          <w:rFonts w:hint="eastAsia" w:ascii="Times New Roman" w:eastAsia="方正仿宋_GBK"/>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eastAsia="宋体"/>
          <w:b/>
          <w:bCs/>
          <w:sz w:val="30"/>
          <w:szCs w:val="30"/>
        </w:rPr>
        <w:id w:val="147469458"/>
        <w15:color w:val="DBDBDB"/>
        <w:docPartObj>
          <w:docPartGallery w:val="Table of Contents"/>
          <w:docPartUnique/>
        </w:docPartObj>
      </w:sdtPr>
      <w:sdtEndPr>
        <w:rPr>
          <w:rFonts w:eastAsia="宋体"/>
          <w:b/>
          <w:bCs/>
          <w:sz w:val="30"/>
          <w:szCs w:val="30"/>
        </w:rPr>
      </w:sdtEndPr>
      <w:sdtContent>
        <w:p w14:paraId="5C635978">
          <w:pPr>
            <w:spacing w:line="240" w:lineRule="auto"/>
            <w:ind w:firstLine="0" w:firstLineChars="0"/>
            <w:jc w:val="center"/>
            <w:rPr>
              <w:rFonts w:hint="eastAsia"/>
              <w:b/>
              <w:bCs/>
              <w:sz w:val="30"/>
              <w:szCs w:val="30"/>
            </w:rPr>
          </w:pPr>
          <w:r>
            <w:rPr>
              <w:rFonts w:eastAsia="宋体"/>
              <w:b/>
              <w:bCs/>
              <w:sz w:val="30"/>
              <w:szCs w:val="30"/>
            </w:rPr>
            <w:t>目</w:t>
          </w:r>
          <w:r>
            <w:rPr>
              <w:rFonts w:hint="eastAsia"/>
              <w:b/>
              <w:bCs/>
              <w:sz w:val="30"/>
              <w:szCs w:val="30"/>
            </w:rPr>
            <w:t xml:space="preserve">    </w:t>
          </w:r>
          <w:r>
            <w:rPr>
              <w:rFonts w:eastAsia="宋体"/>
              <w:b/>
              <w:bCs/>
              <w:sz w:val="30"/>
              <w:szCs w:val="30"/>
            </w:rPr>
            <w:t>录</w:t>
          </w:r>
        </w:p>
        <w:p w14:paraId="77AF1208">
          <w:pPr>
            <w:pStyle w:val="17"/>
            <w:tabs>
              <w:tab w:val="left" w:pos="1050"/>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TOC \o "1-2" \h \u </w:instrText>
          </w:r>
          <w:r>
            <w:fldChar w:fldCharType="separate"/>
          </w:r>
          <w:r>
            <w:fldChar w:fldCharType="begin"/>
          </w:r>
          <w:r>
            <w:instrText xml:space="preserve"> HYPERLINK \l "_Toc176791456" </w:instrText>
          </w:r>
          <w:r>
            <w:fldChar w:fldCharType="separate"/>
          </w:r>
          <w:r>
            <w:rPr>
              <w:rStyle w:val="23"/>
              <w:rFonts w:hint="eastAsia"/>
            </w:rPr>
            <w:t>1.</w:t>
          </w:r>
          <w:r>
            <w:rPr>
              <w:rFonts w:hint="eastAsia" w:asciiTheme="minorHAnsi" w:hAnsiTheme="minorHAnsi" w:eastAsiaTheme="minorEastAsia" w:cstheme="minorBidi"/>
              <w:spacing w:val="0"/>
              <w:sz w:val="21"/>
              <w:szCs w:val="22"/>
              <w14:ligatures w14:val="standardContextual"/>
            </w:rPr>
            <w:tab/>
          </w:r>
          <w:r>
            <w:rPr>
              <w:rStyle w:val="23"/>
              <w:rFonts w:hint="eastAsia"/>
            </w:rPr>
            <w:t>项目简介</w:t>
          </w:r>
          <w:r>
            <w:rPr>
              <w:rFonts w:hint="eastAsia"/>
            </w:rPr>
            <w:tab/>
          </w:r>
          <w:r>
            <w:rPr>
              <w:rFonts w:hint="eastAsia"/>
            </w:rPr>
            <w:fldChar w:fldCharType="begin"/>
          </w:r>
          <w:r>
            <w:rPr>
              <w:rFonts w:hint="eastAsia"/>
            </w:rPr>
            <w:instrText xml:space="preserve"> </w:instrText>
          </w:r>
          <w:r>
            <w:instrText xml:space="preserve">PAGEREF _Toc176791456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870076C">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"_Toc176791457" </w:instrText>
          </w:r>
          <w:r>
            <w:fldChar w:fldCharType="separate"/>
          </w:r>
          <w:r>
            <w:rPr>
              <w:rStyle w:val="23"/>
              <w:rFonts w:hint="eastAsia"/>
            </w:rPr>
            <w:t>1.1.</w:t>
          </w:r>
          <w:r>
            <w:rPr>
              <w:rFonts w:hint="eastAsia" w:asciiTheme="minorHAnsi" w:hAnsiTheme="minorHAnsi" w:eastAsiaTheme="minorEastAsia" w:cstheme="minorBidi"/>
              <w:spacing w:val="0"/>
              <w:sz w:val="21"/>
              <w:szCs w:val="22"/>
              <w14:ligatures w14:val="standardContextual"/>
            </w:rPr>
            <w:tab/>
          </w:r>
          <w:r>
            <w:rPr>
              <w:rStyle w:val="23"/>
              <w:rFonts w:hint="eastAsia"/>
            </w:rPr>
            <w:t>项目名称</w:t>
          </w:r>
          <w:r>
            <w:rPr>
              <w:rFonts w:hint="eastAsia"/>
            </w:rPr>
            <w:tab/>
          </w:r>
          <w:r>
            <w:rPr>
              <w:rFonts w:hint="eastAsia"/>
            </w:rPr>
            <w:fldChar w:fldCharType="begin"/>
          </w:r>
          <w:r>
            <w:rPr>
              <w:rFonts w:hint="eastAsia"/>
            </w:rPr>
            <w:instrText xml:space="preserve"> </w:instrText>
          </w:r>
          <w:r>
            <w:instrText xml:space="preserve">PAGEREF _Toc176791457 \h</w:instrText>
          </w:r>
          <w:r>
            <w:rPr>
              <w:rFonts w:hint="eastAsia"/>
            </w:rPr>
            <w:instrText xml:space="preserve"> </w:instrText>
          </w:r>
          <w:r>
            <w:rPr>
              <w:rFonts w:hint="eastAsia"/>
            </w:rPr>
            <w:fldChar w:fldCharType="separate"/>
          </w:r>
          <w:r>
            <w:rPr>
              <w:b/>
            </w:rPr>
            <w:t>错误！未定义书签。</w:t>
          </w:r>
          <w:r>
            <w:rPr>
              <w:rFonts w:hint="eastAsia"/>
            </w:rPr>
            <w:fldChar w:fldCharType="end"/>
          </w:r>
          <w:r>
            <w:rPr>
              <w:rFonts w:hint="eastAsia"/>
            </w:rPr>
            <w:fldChar w:fldCharType="end"/>
          </w:r>
        </w:p>
        <w:p w14:paraId="2DFCCBF5">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"_Toc176791458" </w:instrText>
          </w:r>
          <w:r>
            <w:fldChar w:fldCharType="separate"/>
          </w:r>
          <w:r>
            <w:rPr>
              <w:rStyle w:val="23"/>
              <w:rFonts w:hint="eastAsia"/>
            </w:rPr>
            <w:t>1.2.</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项目建设单位</w:t>
          </w:r>
          <w:r>
            <w:rPr>
              <w:rFonts w:hint="eastAsia"/>
            </w:rPr>
            <w:tab/>
          </w:r>
          <w:r>
            <w:rPr>
              <w:rFonts w:hint="eastAsia"/>
            </w:rPr>
            <w:fldChar w:fldCharType="begin"/>
          </w:r>
          <w:r>
            <w:rPr>
              <w:rFonts w:hint="eastAsia"/>
            </w:rPr>
            <w:instrText xml:space="preserve"> </w:instrText>
          </w:r>
          <w:r>
            <w:instrText xml:space="preserve">PAGEREF _Toc176791458 \h</w:instrText>
          </w:r>
          <w:r>
            <w:rPr>
              <w:rFonts w:hint="eastAsia"/>
            </w:rPr>
            <w:instrText xml:space="preserve"> </w:instrText>
          </w:r>
          <w:r>
            <w:rPr>
              <w:rFonts w:hint="eastAsia"/>
            </w:rPr>
            <w:fldChar w:fldCharType="separate"/>
          </w:r>
          <w:r>
            <w:rPr>
              <w:b/>
            </w:rPr>
            <w:t>错误！未定义书签。</w:t>
          </w:r>
          <w:r>
            <w:rPr>
              <w:rFonts w:hint="eastAsia"/>
            </w:rPr>
            <w:fldChar w:fldCharType="end"/>
          </w:r>
          <w:r>
            <w:rPr>
              <w:rFonts w:hint="eastAsia"/>
            </w:rPr>
            <w:fldChar w:fldCharType="end"/>
          </w:r>
        </w:p>
        <w:p w14:paraId="425A87AE">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"_Toc176791459" </w:instrText>
          </w:r>
          <w:r>
            <w:fldChar w:fldCharType="separate"/>
          </w:r>
          <w:r>
            <w:rPr>
              <w:rStyle w:val="23"/>
              <w:rFonts w:hint="eastAsia"/>
            </w:rPr>
            <w:t>1.3.</w:t>
          </w:r>
          <w:r>
            <w:rPr>
              <w:rFonts w:hint="eastAsia" w:asciiTheme="minorHAnsi" w:hAnsiTheme="minorHAnsi" w:eastAsiaTheme="minorEastAsia" w:cstheme="minorBidi"/>
              <w:spacing w:val="0"/>
              <w:sz w:val="21"/>
              <w:szCs w:val="22"/>
              <w14:ligatures w14:val="standardContextual"/>
            </w:rPr>
            <w:tab/>
          </w:r>
          <w:r>
            <w:rPr>
              <w:rStyle w:val="23"/>
              <w:rFonts w:hint="eastAsia"/>
            </w:rPr>
            <w:t>项目建议书编制依据</w:t>
          </w:r>
          <w:r>
            <w:rPr>
              <w:rFonts w:hint="eastAsia"/>
            </w:rPr>
            <w:tab/>
          </w:r>
          <w:r>
            <w:rPr>
              <w:rFonts w:hint="eastAsia"/>
            </w:rPr>
            <w:fldChar w:fldCharType="begin"/>
          </w:r>
          <w:r>
            <w:rPr>
              <w:rFonts w:hint="eastAsia"/>
            </w:rPr>
            <w:instrText xml:space="preserve"> </w:instrText>
          </w:r>
          <w:r>
            <w:instrText xml:space="preserve">PAGEREF _Toc176791459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6238A31">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"_Toc176791460" </w:instrText>
          </w:r>
          <w:r>
            <w:fldChar w:fldCharType="separate"/>
          </w:r>
          <w:r>
            <w:rPr>
              <w:rStyle w:val="23"/>
              <w:rFonts w:hint="eastAsia"/>
            </w:rPr>
            <w:t>1.4.</w:t>
          </w:r>
          <w:r>
            <w:rPr>
              <w:rFonts w:hint="eastAsia" w:asciiTheme="minorHAnsi" w:hAnsiTheme="minorHAnsi" w:eastAsiaTheme="minorEastAsia" w:cstheme="minorBidi"/>
              <w:spacing w:val="0"/>
              <w:sz w:val="21"/>
              <w:szCs w:val="22"/>
              <w14:ligatures w14:val="standardContextual"/>
            </w:rPr>
            <w:tab/>
          </w:r>
          <w:r>
            <w:rPr>
              <w:rStyle w:val="23"/>
              <w:rFonts w:hint="eastAsia"/>
            </w:rPr>
            <w:t>项目概况</w:t>
          </w:r>
          <w:r>
            <w:rPr>
              <w:rFonts w:hint="eastAsia"/>
            </w:rPr>
            <w:tab/>
          </w:r>
          <w:r>
            <w:rPr>
              <w:rFonts w:hint="eastAsia"/>
            </w:rPr>
            <w:fldChar w:fldCharType="begin"/>
          </w:r>
          <w:r>
            <w:rPr>
              <w:rFonts w:hint="eastAsia"/>
            </w:rPr>
            <w:instrText xml:space="preserve"> </w:instrText>
          </w:r>
          <w:r>
            <w:instrText xml:space="preserve">PAGEREF _Toc176791460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7884D54">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"_Toc176791461" </w:instrText>
          </w:r>
          <w:r>
            <w:fldChar w:fldCharType="separate"/>
          </w:r>
          <w:r>
            <w:rPr>
              <w:rStyle w:val="23"/>
              <w:rFonts w:hint="eastAsia"/>
            </w:rPr>
            <w:t>1.5.</w:t>
          </w:r>
          <w:r>
            <w:rPr>
              <w:rFonts w:hint="eastAsia" w:asciiTheme="minorHAnsi" w:hAnsiTheme="minorHAnsi" w:eastAsiaTheme="minorEastAsia" w:cstheme="minorBidi"/>
              <w:spacing w:val="0"/>
              <w:sz w:val="21"/>
              <w:szCs w:val="22"/>
              <w14:ligatures w14:val="standardContextual"/>
            </w:rPr>
            <w:tab/>
          </w:r>
          <w:r>
            <w:rPr>
              <w:rStyle w:val="23"/>
              <w:rFonts w:hint="eastAsia"/>
            </w:rPr>
            <w:t>主要结论和建议</w:t>
          </w:r>
          <w:r>
            <w:rPr>
              <w:rFonts w:hint="eastAsia"/>
            </w:rPr>
            <w:tab/>
          </w:r>
          <w:r>
            <w:rPr>
              <w:rFonts w:hint="eastAsia"/>
            </w:rPr>
            <w:fldChar w:fldCharType="begin"/>
          </w:r>
          <w:r>
            <w:rPr>
              <w:rFonts w:hint="eastAsia"/>
            </w:rPr>
            <w:instrText xml:space="preserve"> </w:instrText>
          </w:r>
          <w:r>
            <w:instrText xml:space="preserve">PAGEREF _Toc176791461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935DE48">
          <w:pPr>
            <w:pStyle w:val="17"/>
            <w:tabs>
              <w:tab w:val="left" w:pos="1050"/>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"_Toc176791462" </w:instrText>
          </w:r>
          <w:r>
            <w:fldChar w:fldCharType="separate"/>
          </w:r>
          <w:r>
            <w:rPr>
              <w:rStyle w:val="23"/>
              <w:rFonts w:hint="eastAsia"/>
            </w:rPr>
            <w:t>2.</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项目建设单位概况</w:t>
          </w:r>
          <w:r>
            <w:rPr>
              <w:rFonts w:hint="eastAsia"/>
            </w:rPr>
            <w:tab/>
          </w:r>
          <w:r>
            <w:rPr>
              <w:rFonts w:hint="eastAsia"/>
            </w:rPr>
            <w:fldChar w:fldCharType="begin"/>
          </w:r>
          <w:r>
            <w:rPr>
              <w:rFonts w:hint="eastAsia"/>
            </w:rPr>
            <w:instrText xml:space="preserve"> </w:instrText>
          </w:r>
          <w:r>
            <w:instrText xml:space="preserve">PAGEREF _Toc176791462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588C5F5">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"_Toc176791463" </w:instrText>
          </w:r>
          <w:r>
            <w:fldChar w:fldCharType="separate"/>
          </w:r>
          <w:r>
            <w:rPr>
              <w:rStyle w:val="23"/>
              <w:rFonts w:hint="eastAsia"/>
            </w:rPr>
            <w:t>2.1.</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项目建设单位与职能</w:t>
          </w:r>
          <w:r>
            <w:rPr>
              <w:rFonts w:hint="eastAsia"/>
            </w:rPr>
            <w:tab/>
          </w:r>
          <w:r>
            <w:rPr>
              <w:rFonts w:hint="eastAsia"/>
            </w:rPr>
            <w:fldChar w:fldCharType="begin"/>
          </w:r>
          <w:r>
            <w:rPr>
              <w:rFonts w:hint="eastAsia"/>
            </w:rPr>
            <w:instrText xml:space="preserve"> </w:instrText>
          </w:r>
          <w:r>
            <w:instrText xml:space="preserve">PAGEREF _Toc176791463 \h</w:instrText>
          </w:r>
          <w:r>
            <w:rPr>
              <w:rFonts w:hint="eastAsia"/>
            </w:rPr>
            <w:instrText xml:space="preserve"> </w:instrText>
          </w:r>
          <w:r>
            <w:rPr>
              <w:rFonts w:hint="eastAsia"/>
            </w:rPr>
            <w:fldChar w:fldCharType="separate"/>
          </w:r>
          <w:r>
            <w:rPr>
              <w:b/>
            </w:rPr>
            <w:t>错误！未定义书签。</w:t>
          </w:r>
          <w:r>
            <w:rPr>
              <w:rFonts w:hint="eastAsia"/>
            </w:rPr>
            <w:fldChar w:fldCharType="end"/>
          </w:r>
          <w:r>
            <w:rPr>
              <w:rFonts w:hint="eastAsia"/>
            </w:rPr>
            <w:fldChar w:fldCharType="end"/>
          </w:r>
        </w:p>
        <w:p w14:paraId="6CD00CD4">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"_Toc176791464" </w:instrText>
          </w:r>
          <w:r>
            <w:fldChar w:fldCharType="separate"/>
          </w:r>
          <w:r>
            <w:rPr>
              <w:rStyle w:val="23"/>
              <w:rFonts w:hint="eastAsia"/>
            </w:rPr>
            <w:t>2.2.</w:t>
          </w:r>
          <w:r>
            <w:rPr>
              <w:rFonts w:hint="eastAsia" w:asciiTheme="minorHAnsi" w:hAnsiTheme="minorHAnsi" w:eastAsiaTheme="minorEastAsia" w:cstheme="minorBidi"/>
              <w:spacing w:val="0"/>
              <w:sz w:val="21"/>
              <w:szCs w:val="22"/>
              <w14:ligatures w14:val="standardContextual"/>
            </w:rPr>
            <w:tab/>
          </w:r>
          <w:r>
            <w:rPr>
              <w:rStyle w:val="23"/>
              <w:rFonts w:hint="eastAsia"/>
            </w:rPr>
            <w:t>项目实施机构与职责</w:t>
          </w:r>
          <w:r>
            <w:rPr>
              <w:rFonts w:hint="eastAsia"/>
            </w:rPr>
            <w:tab/>
          </w:r>
          <w:r>
            <w:rPr>
              <w:rFonts w:hint="eastAsia"/>
            </w:rPr>
            <w:fldChar w:fldCharType="begin"/>
          </w:r>
          <w:r>
            <w:rPr>
              <w:rFonts w:hint="eastAsia"/>
            </w:rPr>
            <w:instrText xml:space="preserve"> </w:instrText>
          </w:r>
          <w:r>
            <w:instrText xml:space="preserve">PAGEREF _Toc176791464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053BE30">
          <w:pPr>
            <w:pStyle w:val="17"/>
            <w:tabs>
              <w:tab w:val="left" w:pos="1050"/>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"_Toc176791465" </w:instrText>
          </w:r>
          <w:r>
            <w:fldChar w:fldCharType="separate"/>
          </w:r>
          <w:r>
            <w:rPr>
              <w:rStyle w:val="23"/>
              <w:rFonts w:hint="eastAsia"/>
            </w:rPr>
            <w:t>3.</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项目建设的必要性</w:t>
          </w:r>
          <w:r>
            <w:rPr>
              <w:rFonts w:hint="eastAsia"/>
            </w:rPr>
            <w:tab/>
          </w:r>
          <w:r>
            <w:rPr>
              <w:rFonts w:hint="eastAsia"/>
            </w:rPr>
            <w:fldChar w:fldCharType="begin"/>
          </w:r>
          <w:r>
            <w:rPr>
              <w:rFonts w:hint="eastAsia"/>
            </w:rPr>
            <w:instrText xml:space="preserve"> </w:instrText>
          </w:r>
          <w:r>
            <w:instrText xml:space="preserve">PAGEREF _Toc176791465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3AFF4250">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"_Toc176791466" </w:instrText>
          </w:r>
          <w:r>
            <w:fldChar w:fldCharType="separate"/>
          </w:r>
          <w:r>
            <w:rPr>
              <w:rStyle w:val="23"/>
              <w:rFonts w:hint="eastAsia"/>
            </w:rPr>
            <w:t>3.1.</w:t>
          </w:r>
          <w:r>
            <w:rPr>
              <w:rFonts w:hint="eastAsia" w:asciiTheme="minorHAnsi" w:hAnsiTheme="minorHAnsi" w:eastAsiaTheme="minorEastAsia" w:cstheme="minorBidi"/>
              <w:spacing w:val="0"/>
              <w:sz w:val="21"/>
              <w:szCs w:val="22"/>
              <w14:ligatures w14:val="standardContextual"/>
            </w:rPr>
            <w:tab/>
          </w:r>
          <w:r>
            <w:rPr>
              <w:rStyle w:val="23"/>
              <w:rFonts w:hint="eastAsia"/>
            </w:rPr>
            <w:t>项目背景和依据</w:t>
          </w:r>
          <w:r>
            <w:rPr>
              <w:rFonts w:hint="eastAsia"/>
            </w:rPr>
            <w:tab/>
          </w:r>
          <w:r>
            <w:rPr>
              <w:rFonts w:hint="eastAsia"/>
            </w:rPr>
            <w:fldChar w:fldCharType="begin"/>
          </w:r>
          <w:r>
            <w:rPr>
              <w:rFonts w:hint="eastAsia"/>
            </w:rPr>
            <w:instrText xml:space="preserve"> </w:instrText>
          </w:r>
          <w:r>
            <w:instrText xml:space="preserve">PAGEREF _Toc176791466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3EAC05B">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"_Toc176791467" </w:instrText>
          </w:r>
          <w:r>
            <w:fldChar w:fldCharType="separate"/>
          </w:r>
          <w:r>
            <w:rPr>
              <w:rStyle w:val="23"/>
              <w:rFonts w:hint="eastAsia"/>
            </w:rPr>
            <w:t>3.2.</w:t>
          </w:r>
          <w:r>
            <w:rPr>
              <w:rFonts w:hint="eastAsia" w:asciiTheme="minorHAnsi" w:hAnsiTheme="minorHAnsi" w:eastAsiaTheme="minorEastAsia" w:cstheme="minorBidi"/>
              <w:spacing w:val="0"/>
              <w:sz w:val="21"/>
              <w:szCs w:val="22"/>
              <w14:ligatures w14:val="standardContextual"/>
            </w:rPr>
            <w:tab/>
          </w:r>
          <w:r>
            <w:rPr>
              <w:rStyle w:val="23"/>
              <w:rFonts w:hint="eastAsia"/>
            </w:rPr>
            <w:t>移动输液建设标准</w:t>
          </w:r>
          <w:r>
            <w:rPr>
              <w:rFonts w:hint="eastAsia"/>
            </w:rPr>
            <w:tab/>
          </w:r>
          <w:r>
            <w:rPr>
              <w:rFonts w:hint="eastAsia"/>
            </w:rPr>
            <w:fldChar w:fldCharType="begin"/>
          </w:r>
          <w:r>
            <w:rPr>
              <w:rFonts w:hint="eastAsia"/>
            </w:rPr>
            <w:instrText xml:space="preserve"> </w:instrText>
          </w:r>
          <w:r>
            <w:instrText xml:space="preserve">PAGEREF _Toc176791467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741884A7">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"_Toc176791468" </w:instrText>
          </w:r>
          <w:r>
            <w:fldChar w:fldCharType="separate"/>
          </w:r>
          <w:r>
            <w:rPr>
              <w:rStyle w:val="23"/>
              <w:rFonts w:hint="eastAsia"/>
            </w:rPr>
            <w:t>3.3.</w:t>
          </w:r>
          <w:r>
            <w:rPr>
              <w:rFonts w:hint="eastAsia" w:asciiTheme="minorHAnsi" w:hAnsiTheme="minorHAnsi" w:eastAsiaTheme="minorEastAsia" w:cstheme="minorBidi"/>
              <w:spacing w:val="0"/>
              <w:sz w:val="21"/>
              <w:szCs w:val="22"/>
              <w14:ligatures w14:val="standardContextual"/>
            </w:rPr>
            <w:tab/>
          </w:r>
          <w:r>
            <w:rPr>
              <w:rStyle w:val="23"/>
              <w:rFonts w:hint="eastAsia"/>
            </w:rPr>
            <w:t>现有移动输液应用状况</w:t>
          </w:r>
          <w:r>
            <w:rPr>
              <w:rFonts w:hint="eastAsia"/>
            </w:rPr>
            <w:tab/>
          </w:r>
          <w:r>
            <w:rPr>
              <w:rFonts w:hint="eastAsia"/>
            </w:rPr>
            <w:fldChar w:fldCharType="begin"/>
          </w:r>
          <w:r>
            <w:rPr>
              <w:rFonts w:hint="eastAsia"/>
            </w:rPr>
            <w:instrText xml:space="preserve"> </w:instrText>
          </w:r>
          <w:r>
            <w:instrText xml:space="preserve">PAGEREF _Toc176791468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2CD5B9DD">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"_Toc176791469" </w:instrText>
          </w:r>
          <w:r>
            <w:fldChar w:fldCharType="separate"/>
          </w:r>
          <w:r>
            <w:rPr>
              <w:rStyle w:val="23"/>
              <w:rFonts w:hint="eastAsia"/>
            </w:rPr>
            <w:t>3.4.</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项目建设的意义和必要性</w:t>
          </w:r>
          <w:r>
            <w:rPr>
              <w:rFonts w:hint="eastAsia"/>
            </w:rPr>
            <w:tab/>
          </w:r>
          <w:r>
            <w:rPr>
              <w:rFonts w:hint="eastAsia"/>
            </w:rPr>
            <w:fldChar w:fldCharType="begin"/>
          </w:r>
          <w:r>
            <w:rPr>
              <w:rFonts w:hint="eastAsia"/>
            </w:rPr>
            <w:instrText xml:space="preserve"> </w:instrText>
          </w:r>
          <w:r>
            <w:instrText xml:space="preserve">PAGEREF _Toc176791469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449F047">
          <w:pPr>
            <w:pStyle w:val="17"/>
            <w:tabs>
              <w:tab w:val="left" w:pos="1050"/>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"_Toc176791470" </w:instrText>
          </w:r>
          <w:r>
            <w:fldChar w:fldCharType="separate"/>
          </w:r>
          <w:r>
            <w:rPr>
              <w:rStyle w:val="23"/>
              <w:rFonts w:hint="eastAsia"/>
            </w:rPr>
            <w:t>4.</w:t>
          </w:r>
          <w:r>
            <w:rPr>
              <w:rFonts w:hint="eastAsia" w:asciiTheme="minorHAnsi" w:hAnsiTheme="minorHAnsi" w:eastAsiaTheme="minorEastAsia" w:cstheme="minorBidi"/>
              <w:spacing w:val="0"/>
              <w:sz w:val="21"/>
              <w:szCs w:val="22"/>
              <w14:ligatures w14:val="standardContextual"/>
            </w:rPr>
            <w:tab/>
          </w:r>
          <w:r>
            <w:rPr>
              <w:rStyle w:val="23"/>
              <w:rFonts w:hint="eastAsia"/>
            </w:rPr>
            <w:t>需求分析</w:t>
          </w:r>
          <w:r>
            <w:rPr>
              <w:rFonts w:hint="eastAsia"/>
            </w:rPr>
            <w:tab/>
          </w:r>
          <w:r>
            <w:rPr>
              <w:rFonts w:hint="eastAsia"/>
            </w:rPr>
            <w:fldChar w:fldCharType="begin"/>
          </w:r>
          <w:r>
            <w:rPr>
              <w:rFonts w:hint="eastAsia"/>
            </w:rPr>
            <w:instrText xml:space="preserve"> </w:instrText>
          </w:r>
          <w:r>
            <w:instrText xml:space="preserve">PAGEREF _Toc176791470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3B83DC40">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"_Toc176791471" </w:instrText>
          </w:r>
          <w:r>
            <w:fldChar w:fldCharType="separate"/>
          </w:r>
          <w:r>
            <w:rPr>
              <w:rStyle w:val="23"/>
              <w:rFonts w:hint="eastAsia"/>
            </w:rPr>
            <w:t>4.1.</w:t>
          </w:r>
          <w:r>
            <w:rPr>
              <w:rFonts w:hint="eastAsia" w:asciiTheme="minorHAnsi" w:hAnsiTheme="minorHAnsi" w:eastAsiaTheme="minorEastAsia" w:cstheme="minorBidi"/>
              <w:spacing w:val="0"/>
              <w:sz w:val="21"/>
              <w:szCs w:val="22"/>
              <w14:ligatures w14:val="standardContextual"/>
            </w:rPr>
            <w:tab/>
          </w:r>
          <w:r>
            <w:rPr>
              <w:rStyle w:val="23"/>
              <w:rFonts w:hint="eastAsia"/>
            </w:rPr>
            <w:t>安全保密与自主可控</w:t>
          </w:r>
          <w:r>
            <w:rPr>
              <w:rFonts w:hint="eastAsia"/>
            </w:rPr>
            <w:tab/>
          </w:r>
          <w:r>
            <w:rPr>
              <w:rFonts w:hint="eastAsia"/>
            </w:rPr>
            <w:fldChar w:fldCharType="begin"/>
          </w:r>
          <w:r>
            <w:rPr>
              <w:rFonts w:hint="eastAsia"/>
            </w:rPr>
            <w:instrText xml:space="preserve"> </w:instrText>
          </w:r>
          <w:r>
            <w:instrText xml:space="preserve">PAGEREF _Toc176791471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51FA8F77">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"_Toc176791472" </w:instrText>
          </w:r>
          <w:r>
            <w:fldChar w:fldCharType="separate"/>
          </w:r>
          <w:r>
            <w:rPr>
              <w:rStyle w:val="23"/>
              <w:rFonts w:hint="eastAsia"/>
            </w:rPr>
            <w:t>4.2.</w:t>
          </w:r>
          <w:r>
            <w:rPr>
              <w:rFonts w:hint="eastAsia" w:asciiTheme="minorHAnsi" w:hAnsiTheme="minorHAnsi" w:eastAsiaTheme="minorEastAsia" w:cstheme="minorBidi"/>
              <w:spacing w:val="0"/>
              <w:sz w:val="21"/>
              <w:szCs w:val="22"/>
              <w14:ligatures w14:val="standardContextual"/>
            </w:rPr>
            <w:tab/>
          </w:r>
          <w:r>
            <w:rPr>
              <w:rStyle w:val="23"/>
              <w:rFonts w:hint="eastAsia"/>
            </w:rPr>
            <w:t>系统需求分析</w:t>
          </w:r>
          <w:r>
            <w:rPr>
              <w:rFonts w:hint="eastAsia"/>
            </w:rPr>
            <w:tab/>
          </w:r>
          <w:r>
            <w:rPr>
              <w:rFonts w:hint="eastAsia"/>
            </w:rPr>
            <w:fldChar w:fldCharType="begin"/>
          </w:r>
          <w:r>
            <w:rPr>
              <w:rFonts w:hint="eastAsia"/>
            </w:rPr>
            <w:instrText xml:space="preserve"> </w:instrText>
          </w:r>
          <w:r>
            <w:instrText xml:space="preserve">PAGEREF _Toc176791472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3BB66A20">
          <w:pPr>
            <w:pStyle w:val="17"/>
            <w:tabs>
              <w:tab w:val="left" w:pos="1050"/>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"_Toc176791473" </w:instrText>
          </w:r>
          <w:r>
            <w:fldChar w:fldCharType="separate"/>
          </w:r>
          <w:r>
            <w:rPr>
              <w:rStyle w:val="23"/>
              <w:rFonts w:hint="eastAsia"/>
            </w:rPr>
            <w:t>5.</w:t>
          </w:r>
          <w:r>
            <w:rPr>
              <w:rFonts w:hint="eastAsia" w:asciiTheme="minorHAnsi" w:hAnsiTheme="minorHAnsi" w:eastAsiaTheme="minorEastAsia" w:cstheme="minorBidi"/>
              <w:spacing w:val="0"/>
              <w:sz w:val="21"/>
              <w:szCs w:val="22"/>
              <w14:ligatures w14:val="standardContextual"/>
            </w:rPr>
            <w:tab/>
          </w:r>
          <w:r>
            <w:rPr>
              <w:rStyle w:val="23"/>
              <w:rFonts w:hint="eastAsia"/>
            </w:rPr>
            <w:t>建设方案</w:t>
          </w:r>
          <w:r>
            <w:rPr>
              <w:rFonts w:hint="eastAsia"/>
            </w:rPr>
            <w:tab/>
          </w:r>
          <w:r>
            <w:rPr>
              <w:rFonts w:hint="eastAsia"/>
            </w:rPr>
            <w:fldChar w:fldCharType="begin"/>
          </w:r>
          <w:r>
            <w:rPr>
              <w:rFonts w:hint="eastAsia"/>
            </w:rPr>
            <w:instrText xml:space="preserve"> </w:instrText>
          </w:r>
          <w:r>
            <w:instrText xml:space="preserve">PAGEREF _Toc176791473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2AEBD221">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"_Toc176791474" </w:instrText>
          </w:r>
          <w:r>
            <w:fldChar w:fldCharType="separate"/>
          </w:r>
          <w:r>
            <w:rPr>
              <w:rStyle w:val="23"/>
              <w:rFonts w:hint="eastAsia"/>
            </w:rPr>
            <w:t>5.1.</w:t>
          </w:r>
          <w:r>
            <w:rPr>
              <w:rFonts w:hint="eastAsia" w:asciiTheme="minorHAnsi" w:hAnsiTheme="minorHAnsi" w:eastAsiaTheme="minorEastAsia" w:cstheme="minorBidi"/>
              <w:spacing w:val="0"/>
              <w:sz w:val="21"/>
              <w:szCs w:val="22"/>
              <w14:ligatures w14:val="standardContextual"/>
            </w:rPr>
            <w:tab/>
          </w:r>
          <w:r>
            <w:rPr>
              <w:rStyle w:val="23"/>
              <w:rFonts w:hint="eastAsia"/>
            </w:rPr>
            <w:t>建设原则和策略</w:t>
          </w:r>
          <w:r>
            <w:rPr>
              <w:rFonts w:hint="eastAsia"/>
            </w:rPr>
            <w:tab/>
          </w:r>
          <w:r>
            <w:rPr>
              <w:rFonts w:hint="eastAsia"/>
            </w:rPr>
            <w:fldChar w:fldCharType="begin"/>
          </w:r>
          <w:r>
            <w:rPr>
              <w:rFonts w:hint="eastAsia"/>
            </w:rPr>
            <w:instrText xml:space="preserve"> </w:instrText>
          </w:r>
          <w:r>
            <w:instrText xml:space="preserve">PAGEREF _Toc176791474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622F4BCE">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"_Toc176791475" </w:instrText>
          </w:r>
          <w:r>
            <w:fldChar w:fldCharType="separate"/>
          </w:r>
          <w:r>
            <w:rPr>
              <w:rStyle w:val="23"/>
              <w:rFonts w:hint="eastAsia"/>
            </w:rPr>
            <w:t>5.2.</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项目建设目标</w:t>
          </w:r>
          <w:r>
            <w:rPr>
              <w:rFonts w:hint="eastAsia"/>
            </w:rPr>
            <w:tab/>
          </w:r>
          <w:r>
            <w:rPr>
              <w:rFonts w:hint="eastAsia"/>
            </w:rPr>
            <w:fldChar w:fldCharType="begin"/>
          </w:r>
          <w:r>
            <w:rPr>
              <w:rFonts w:hint="eastAsia"/>
            </w:rPr>
            <w:instrText xml:space="preserve"> </w:instrText>
          </w:r>
          <w:r>
            <w:instrText xml:space="preserve">PAGEREF _Toc176791475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254A32F5">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"_Toc176791476" </w:instrText>
          </w:r>
          <w:r>
            <w:fldChar w:fldCharType="separate"/>
          </w:r>
          <w:r>
            <w:rPr>
              <w:rStyle w:val="23"/>
              <w:rFonts w:hint="eastAsia"/>
            </w:rPr>
            <w:t>5.3.</w:t>
          </w:r>
          <w:r>
            <w:rPr>
              <w:rFonts w:hint="eastAsia" w:asciiTheme="minorHAnsi" w:hAnsiTheme="minorHAnsi" w:eastAsiaTheme="minorEastAsia" w:cstheme="minorBidi"/>
              <w:spacing w:val="0"/>
              <w:sz w:val="21"/>
              <w:szCs w:val="22"/>
              <w14:ligatures w14:val="standardContextual"/>
            </w:rPr>
            <w:tab/>
          </w:r>
          <w:r>
            <w:rPr>
              <w:rStyle w:val="23"/>
              <w:rFonts w:hint="eastAsia"/>
            </w:rPr>
            <w:t>国内外医院移动输液系统技术对比</w:t>
          </w:r>
          <w:r>
            <w:rPr>
              <w:rFonts w:hint="eastAsia"/>
            </w:rPr>
            <w:tab/>
          </w:r>
          <w:r>
            <w:rPr>
              <w:rFonts w:hint="eastAsia"/>
            </w:rPr>
            <w:fldChar w:fldCharType="begin"/>
          </w:r>
          <w:r>
            <w:rPr>
              <w:rFonts w:hint="eastAsia"/>
            </w:rPr>
            <w:instrText xml:space="preserve"> </w:instrText>
          </w:r>
          <w:r>
            <w:instrText xml:space="preserve">PAGEREF _Toc176791476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11A63152">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"_Toc176791477" </w:instrText>
          </w:r>
          <w:r>
            <w:fldChar w:fldCharType="separate"/>
          </w:r>
          <w:r>
            <w:rPr>
              <w:rStyle w:val="23"/>
              <w:rFonts w:hint="eastAsia"/>
            </w:rPr>
            <w:t>5.4.</w:t>
          </w:r>
          <w:r>
            <w:rPr>
              <w:rFonts w:hint="eastAsia" w:asciiTheme="minorHAnsi" w:hAnsiTheme="minorHAnsi" w:eastAsiaTheme="minorEastAsia" w:cstheme="minorBidi"/>
              <w:spacing w:val="0"/>
              <w:sz w:val="21"/>
              <w:szCs w:val="22"/>
              <w14:ligatures w14:val="standardContextual"/>
            </w:rPr>
            <w:tab/>
          </w:r>
          <w:r>
            <w:rPr>
              <w:rStyle w:val="23"/>
              <w:rFonts w:hint="eastAsia"/>
            </w:rPr>
            <w:t>技术方案</w:t>
          </w:r>
          <w:r>
            <w:rPr>
              <w:rFonts w:hint="eastAsia"/>
            </w:rPr>
            <w:tab/>
          </w:r>
          <w:r>
            <w:rPr>
              <w:rFonts w:hint="eastAsia"/>
            </w:rPr>
            <w:fldChar w:fldCharType="begin"/>
          </w:r>
          <w:r>
            <w:rPr>
              <w:rFonts w:hint="eastAsia"/>
            </w:rPr>
            <w:instrText xml:space="preserve"> </w:instrText>
          </w:r>
          <w:r>
            <w:instrText xml:space="preserve">PAGEREF _Toc176791477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29EF004B">
          <w:pPr>
            <w:pStyle w:val="17"/>
            <w:tabs>
              <w:tab w:val="left" w:pos="1050"/>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"_Toc176791478" </w:instrText>
          </w:r>
          <w:r>
            <w:fldChar w:fldCharType="separate"/>
          </w:r>
          <w:r>
            <w:rPr>
              <w:rStyle w:val="23"/>
              <w:rFonts w:hint="eastAsia"/>
            </w:rPr>
            <w:t>6.</w:t>
          </w:r>
          <w:r>
            <w:rPr>
              <w:rFonts w:hint="eastAsia" w:asciiTheme="minorHAnsi" w:hAnsiTheme="minorHAnsi" w:eastAsiaTheme="minorEastAsia" w:cstheme="minorBidi"/>
              <w:spacing w:val="0"/>
              <w:sz w:val="21"/>
              <w:szCs w:val="22"/>
              <w14:ligatures w14:val="standardContextual"/>
            </w:rPr>
            <w:tab/>
          </w:r>
          <w:r>
            <w:rPr>
              <w:rStyle w:val="23"/>
              <w:rFonts w:hint="eastAsia"/>
            </w:rPr>
            <w:t>环保、消防、职业安全、职业卫生和节能</w:t>
          </w:r>
          <w:r>
            <w:rPr>
              <w:rFonts w:hint="eastAsia"/>
            </w:rPr>
            <w:tab/>
          </w:r>
          <w:r>
            <w:rPr>
              <w:rFonts w:hint="eastAsia"/>
            </w:rPr>
            <w:fldChar w:fldCharType="begin"/>
          </w:r>
          <w:r>
            <w:rPr>
              <w:rFonts w:hint="eastAsia"/>
            </w:rPr>
            <w:instrText xml:space="preserve"> </w:instrText>
          </w:r>
          <w:r>
            <w:instrText xml:space="preserve">PAGEREF _Toc176791478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21A908ED">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"_Toc176791479" </w:instrText>
          </w:r>
          <w:r>
            <w:fldChar w:fldCharType="separate"/>
          </w:r>
          <w:r>
            <w:rPr>
              <w:rStyle w:val="23"/>
              <w:rFonts w:hint="eastAsia"/>
            </w:rPr>
            <w:t>6.1.</w:t>
          </w:r>
          <w:r>
            <w:rPr>
              <w:rFonts w:hint="eastAsia" w:asciiTheme="minorHAnsi" w:hAnsiTheme="minorHAnsi" w:eastAsiaTheme="minorEastAsia" w:cstheme="minorBidi"/>
              <w:spacing w:val="0"/>
              <w:sz w:val="21"/>
              <w:szCs w:val="22"/>
              <w14:ligatures w14:val="standardContextual"/>
            </w:rPr>
            <w:tab/>
          </w:r>
          <w:r>
            <w:rPr>
              <w:rStyle w:val="23"/>
              <w:rFonts w:hint="eastAsia"/>
            </w:rPr>
            <w:t>环境影响和环保措施</w:t>
          </w:r>
          <w:r>
            <w:rPr>
              <w:rFonts w:hint="eastAsia"/>
            </w:rPr>
            <w:tab/>
          </w:r>
          <w:r>
            <w:rPr>
              <w:rFonts w:hint="eastAsia"/>
            </w:rPr>
            <w:fldChar w:fldCharType="begin"/>
          </w:r>
          <w:r>
            <w:rPr>
              <w:rFonts w:hint="eastAsia"/>
            </w:rPr>
            <w:instrText xml:space="preserve"> </w:instrText>
          </w:r>
          <w:r>
            <w:instrText xml:space="preserve">PAGEREF _Toc176791479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37B30100">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"_Toc176791480" </w:instrText>
          </w:r>
          <w:r>
            <w:fldChar w:fldCharType="separate"/>
          </w:r>
          <w:r>
            <w:rPr>
              <w:rStyle w:val="23"/>
              <w:rFonts w:hint="eastAsia"/>
            </w:rPr>
            <w:t>6.2.</w:t>
          </w:r>
          <w:r>
            <w:rPr>
              <w:rFonts w:hint="eastAsia" w:asciiTheme="minorHAnsi" w:hAnsiTheme="minorHAnsi" w:eastAsiaTheme="minorEastAsia" w:cstheme="minorBidi"/>
              <w:spacing w:val="0"/>
              <w:sz w:val="21"/>
              <w:szCs w:val="22"/>
              <w14:ligatures w14:val="standardContextual"/>
            </w:rPr>
            <w:tab/>
          </w:r>
          <w:r>
            <w:rPr>
              <w:rStyle w:val="23"/>
              <w:rFonts w:hint="eastAsia"/>
            </w:rPr>
            <w:t>消防措施</w:t>
          </w:r>
          <w:r>
            <w:rPr>
              <w:rFonts w:hint="eastAsia"/>
            </w:rPr>
            <w:tab/>
          </w:r>
          <w:r>
            <w:rPr>
              <w:rFonts w:hint="eastAsia"/>
            </w:rPr>
            <w:fldChar w:fldCharType="begin"/>
          </w:r>
          <w:r>
            <w:rPr>
              <w:rFonts w:hint="eastAsia"/>
            </w:rPr>
            <w:instrText xml:space="preserve"> </w:instrText>
          </w:r>
          <w:r>
            <w:instrText xml:space="preserve">PAGEREF _Toc176791480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42649CAA">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"_Toc176791481" </w:instrText>
          </w:r>
          <w:r>
            <w:fldChar w:fldCharType="separate"/>
          </w:r>
          <w:r>
            <w:rPr>
              <w:rStyle w:val="23"/>
              <w:rFonts w:hint="eastAsia"/>
            </w:rPr>
            <w:t>6.3.</w:t>
          </w:r>
          <w:r>
            <w:rPr>
              <w:rFonts w:hint="eastAsia" w:asciiTheme="minorHAnsi" w:hAnsiTheme="minorHAnsi" w:eastAsiaTheme="minorEastAsia" w:cstheme="minorBidi"/>
              <w:spacing w:val="0"/>
              <w:sz w:val="21"/>
              <w:szCs w:val="22"/>
              <w14:ligatures w14:val="standardContextual"/>
            </w:rPr>
            <w:tab/>
          </w:r>
          <w:r>
            <w:rPr>
              <w:rStyle w:val="23"/>
              <w:rFonts w:hint="eastAsia"/>
            </w:rPr>
            <w:t>职业安全和卫生措施</w:t>
          </w:r>
          <w:r>
            <w:rPr>
              <w:rFonts w:hint="eastAsia"/>
            </w:rPr>
            <w:tab/>
          </w:r>
          <w:r>
            <w:rPr>
              <w:rFonts w:hint="eastAsia"/>
            </w:rPr>
            <w:fldChar w:fldCharType="begin"/>
          </w:r>
          <w:r>
            <w:rPr>
              <w:rFonts w:hint="eastAsia"/>
            </w:rPr>
            <w:instrText xml:space="preserve"> </w:instrText>
          </w:r>
          <w:r>
            <w:instrText xml:space="preserve">PAGEREF _Toc176791481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25E5B9E1">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"_Toc176791482" </w:instrText>
          </w:r>
          <w:r>
            <w:fldChar w:fldCharType="separate"/>
          </w:r>
          <w:r>
            <w:rPr>
              <w:rStyle w:val="23"/>
              <w:rFonts w:hint="eastAsia"/>
            </w:rPr>
            <w:t>6.4.</w:t>
          </w:r>
          <w:r>
            <w:rPr>
              <w:rFonts w:hint="eastAsia" w:asciiTheme="minorHAnsi" w:hAnsiTheme="minorHAnsi" w:eastAsiaTheme="minorEastAsia" w:cstheme="minorBidi"/>
              <w:spacing w:val="0"/>
              <w:sz w:val="21"/>
              <w:szCs w:val="22"/>
              <w14:ligatures w14:val="standardContextual"/>
            </w:rPr>
            <w:tab/>
          </w:r>
          <w:r>
            <w:rPr>
              <w:rStyle w:val="23"/>
              <w:rFonts w:hint="eastAsia"/>
            </w:rPr>
            <w:t>节能目标及措施</w:t>
          </w:r>
          <w:r>
            <w:rPr>
              <w:rFonts w:hint="eastAsia"/>
            </w:rPr>
            <w:tab/>
          </w:r>
          <w:r>
            <w:rPr>
              <w:rFonts w:hint="eastAsia"/>
            </w:rPr>
            <w:fldChar w:fldCharType="begin"/>
          </w:r>
          <w:r>
            <w:rPr>
              <w:rFonts w:hint="eastAsia"/>
            </w:rPr>
            <w:instrText xml:space="preserve"> </w:instrText>
          </w:r>
          <w:r>
            <w:instrText xml:space="preserve">PAGEREF _Toc176791482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7F229729">
          <w:pPr>
            <w:pStyle w:val="17"/>
            <w:tabs>
              <w:tab w:val="left" w:pos="1050"/>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"_Toc176791483" </w:instrText>
          </w:r>
          <w:r>
            <w:fldChar w:fldCharType="separate"/>
          </w:r>
          <w:r>
            <w:rPr>
              <w:rStyle w:val="23"/>
              <w:rFonts w:hint="eastAsia"/>
            </w:rPr>
            <w:t>7.</w:t>
          </w:r>
          <w:r>
            <w:rPr>
              <w:rFonts w:hint="eastAsia" w:asciiTheme="minorHAnsi" w:hAnsiTheme="minorHAnsi" w:eastAsiaTheme="minorEastAsia" w:cstheme="minorBidi"/>
              <w:spacing w:val="0"/>
              <w:sz w:val="21"/>
              <w:szCs w:val="22"/>
              <w14:ligatures w14:val="standardContextual"/>
            </w:rPr>
            <w:tab/>
          </w:r>
          <w:r>
            <w:rPr>
              <w:rStyle w:val="23"/>
              <w:rFonts w:hint="eastAsia"/>
            </w:rPr>
            <w:t>项目组织机构和人员</w:t>
          </w:r>
          <w:r>
            <w:rPr>
              <w:rFonts w:hint="eastAsia"/>
            </w:rPr>
            <w:tab/>
          </w:r>
          <w:r>
            <w:rPr>
              <w:rFonts w:hint="eastAsia"/>
            </w:rPr>
            <w:fldChar w:fldCharType="begin"/>
          </w:r>
          <w:r>
            <w:rPr>
              <w:rFonts w:hint="eastAsia"/>
            </w:rPr>
            <w:instrText xml:space="preserve"> </w:instrText>
          </w:r>
          <w:r>
            <w:instrText xml:space="preserve">PAGEREF _Toc176791483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1DE3B896">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"_Toc176791484" </w:instrText>
          </w:r>
          <w:r>
            <w:fldChar w:fldCharType="separate"/>
          </w:r>
          <w:r>
            <w:rPr>
              <w:rStyle w:val="23"/>
              <w:rFonts w:hint="eastAsia"/>
            </w:rPr>
            <w:t>7.1.</w:t>
          </w:r>
          <w:r>
            <w:rPr>
              <w:rFonts w:hint="eastAsia" w:asciiTheme="minorHAnsi" w:hAnsiTheme="minorHAnsi" w:eastAsiaTheme="minorEastAsia" w:cstheme="minorBidi"/>
              <w:spacing w:val="0"/>
              <w:sz w:val="21"/>
              <w:szCs w:val="22"/>
              <w14:ligatures w14:val="standardContextual"/>
            </w:rPr>
            <w:tab/>
          </w:r>
          <w:r>
            <w:rPr>
              <w:rStyle w:val="23"/>
              <w:rFonts w:hint="eastAsia"/>
            </w:rPr>
            <w:t>领导和管理机构</w:t>
          </w:r>
          <w:r>
            <w:rPr>
              <w:rFonts w:hint="eastAsia"/>
            </w:rPr>
            <w:tab/>
          </w:r>
          <w:r>
            <w:rPr>
              <w:rFonts w:hint="eastAsia"/>
            </w:rPr>
            <w:fldChar w:fldCharType="begin"/>
          </w:r>
          <w:r>
            <w:rPr>
              <w:rFonts w:hint="eastAsia"/>
            </w:rPr>
            <w:instrText xml:space="preserve"> </w:instrText>
          </w:r>
          <w:r>
            <w:instrText xml:space="preserve">PAGEREF _Toc176791484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0F68A32F">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"_Toc176791485" </w:instrText>
          </w:r>
          <w:r>
            <w:fldChar w:fldCharType="separate"/>
          </w:r>
          <w:r>
            <w:rPr>
              <w:rStyle w:val="23"/>
              <w:rFonts w:hint="eastAsia"/>
            </w:rPr>
            <w:t>7.2.</w:t>
          </w:r>
          <w:r>
            <w:rPr>
              <w:rFonts w:hint="eastAsia" w:asciiTheme="minorHAnsi" w:hAnsiTheme="minorHAnsi" w:eastAsiaTheme="minorEastAsia" w:cstheme="minorBidi"/>
              <w:spacing w:val="0"/>
              <w:sz w:val="21"/>
              <w:szCs w:val="22"/>
              <w14:ligatures w14:val="standardContextual"/>
            </w:rPr>
            <w:tab/>
          </w:r>
          <w:r>
            <w:rPr>
              <w:rStyle w:val="23"/>
              <w:rFonts w:hint="eastAsia"/>
            </w:rPr>
            <w:t>项目实施及运行维护机构</w:t>
          </w:r>
          <w:r>
            <w:rPr>
              <w:rFonts w:hint="eastAsia"/>
            </w:rPr>
            <w:tab/>
          </w:r>
          <w:r>
            <w:rPr>
              <w:rFonts w:hint="eastAsia"/>
            </w:rPr>
            <w:fldChar w:fldCharType="begin"/>
          </w:r>
          <w:r>
            <w:rPr>
              <w:rFonts w:hint="eastAsia"/>
            </w:rPr>
            <w:instrText xml:space="preserve"> </w:instrText>
          </w:r>
          <w:r>
            <w:instrText xml:space="preserve">PAGEREF _Toc176791485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53023F2E">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"_Toc176791486" </w:instrText>
          </w:r>
          <w:r>
            <w:fldChar w:fldCharType="separate"/>
          </w:r>
          <w:r>
            <w:rPr>
              <w:rStyle w:val="23"/>
              <w:rFonts w:hint="eastAsia"/>
            </w:rPr>
            <w:t>7.3.</w:t>
          </w:r>
          <w:r>
            <w:rPr>
              <w:rFonts w:hint="eastAsia" w:asciiTheme="minorHAnsi" w:hAnsiTheme="minorHAnsi" w:eastAsiaTheme="minorEastAsia" w:cstheme="minorBidi"/>
              <w:spacing w:val="0"/>
              <w:sz w:val="21"/>
              <w:szCs w:val="22"/>
              <w14:ligatures w14:val="standardContextual"/>
            </w:rPr>
            <w:tab/>
          </w:r>
          <w:r>
            <w:rPr>
              <w:rStyle w:val="23"/>
              <w:rFonts w:hint="eastAsia"/>
            </w:rPr>
            <w:t>技术力量和人员配置</w:t>
          </w:r>
          <w:r>
            <w:rPr>
              <w:rFonts w:hint="eastAsia"/>
            </w:rPr>
            <w:tab/>
          </w:r>
          <w:r>
            <w:rPr>
              <w:rFonts w:hint="eastAsia"/>
            </w:rPr>
            <w:fldChar w:fldCharType="begin"/>
          </w:r>
          <w:r>
            <w:rPr>
              <w:rFonts w:hint="eastAsia"/>
            </w:rPr>
            <w:instrText xml:space="preserve"> </w:instrText>
          </w:r>
          <w:r>
            <w:instrText xml:space="preserve">PAGEREF _Toc176791486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39F716C9">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"_Toc176791487" </w:instrText>
          </w:r>
          <w:r>
            <w:fldChar w:fldCharType="separate"/>
          </w:r>
          <w:r>
            <w:rPr>
              <w:rStyle w:val="23"/>
              <w:rFonts w:hint="eastAsia"/>
            </w:rPr>
            <w:t>7.4.</w:t>
          </w:r>
          <w:r>
            <w:rPr>
              <w:rFonts w:hint="eastAsia" w:asciiTheme="minorHAnsi" w:hAnsiTheme="minorHAnsi" w:eastAsiaTheme="minorEastAsia" w:cstheme="minorBidi"/>
              <w:spacing w:val="0"/>
              <w:sz w:val="21"/>
              <w:szCs w:val="22"/>
              <w14:ligatures w14:val="standardContextual"/>
            </w:rPr>
            <w:tab/>
          </w:r>
          <w:r>
            <w:rPr>
              <w:rStyle w:val="23"/>
              <w:rFonts w:hint="eastAsia"/>
            </w:rPr>
            <w:t>培训目的</w:t>
          </w:r>
          <w:r>
            <w:rPr>
              <w:rFonts w:hint="eastAsia"/>
            </w:rPr>
            <w:tab/>
          </w:r>
          <w:r>
            <w:rPr>
              <w:rFonts w:hint="eastAsia"/>
            </w:rPr>
            <w:fldChar w:fldCharType="begin"/>
          </w:r>
          <w:r>
            <w:rPr>
              <w:rFonts w:hint="eastAsia"/>
            </w:rPr>
            <w:instrText xml:space="preserve"> </w:instrText>
          </w:r>
          <w:r>
            <w:instrText xml:space="preserve">PAGEREF _Toc176791487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16654AF0">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"_Toc176791488" </w:instrText>
          </w:r>
          <w:r>
            <w:fldChar w:fldCharType="separate"/>
          </w:r>
          <w:r>
            <w:rPr>
              <w:rStyle w:val="23"/>
              <w:rFonts w:hint="eastAsia"/>
            </w:rPr>
            <w:t>7.5.</w:t>
          </w:r>
          <w:r>
            <w:rPr>
              <w:rFonts w:hint="eastAsia" w:asciiTheme="minorHAnsi" w:hAnsiTheme="minorHAnsi" w:eastAsiaTheme="minorEastAsia" w:cstheme="minorBidi"/>
              <w:spacing w:val="0"/>
              <w:sz w:val="21"/>
              <w:szCs w:val="22"/>
              <w14:ligatures w14:val="standardContextual"/>
            </w:rPr>
            <w:tab/>
          </w:r>
          <w:r>
            <w:rPr>
              <w:rStyle w:val="23"/>
              <w:rFonts w:hint="eastAsia"/>
            </w:rPr>
            <w:t>培训目标及对象</w:t>
          </w:r>
          <w:r>
            <w:rPr>
              <w:rFonts w:hint="eastAsia"/>
            </w:rPr>
            <w:tab/>
          </w:r>
          <w:r>
            <w:rPr>
              <w:rFonts w:hint="eastAsia"/>
            </w:rPr>
            <w:fldChar w:fldCharType="begin"/>
          </w:r>
          <w:r>
            <w:rPr>
              <w:rFonts w:hint="eastAsia"/>
            </w:rPr>
            <w:instrText xml:space="preserve"> </w:instrText>
          </w:r>
          <w:r>
            <w:instrText xml:space="preserve">PAGEREF _Toc176791488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41600322">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"_Toc176791489" </w:instrText>
          </w:r>
          <w:r>
            <w:fldChar w:fldCharType="separate"/>
          </w:r>
          <w:r>
            <w:rPr>
              <w:rStyle w:val="23"/>
              <w:rFonts w:hint="eastAsia"/>
            </w:rPr>
            <w:t>7.6.</w:t>
          </w:r>
          <w:r>
            <w:rPr>
              <w:rFonts w:hint="eastAsia" w:asciiTheme="minorHAnsi" w:hAnsiTheme="minorHAnsi" w:eastAsiaTheme="minorEastAsia" w:cstheme="minorBidi"/>
              <w:spacing w:val="0"/>
              <w:sz w:val="21"/>
              <w:szCs w:val="22"/>
              <w14:ligatures w14:val="standardContextual"/>
            </w:rPr>
            <w:tab/>
          </w:r>
          <w:r>
            <w:rPr>
              <w:rStyle w:val="23"/>
              <w:rFonts w:hint="eastAsia"/>
            </w:rPr>
            <w:t>培训方式</w:t>
          </w:r>
          <w:r>
            <w:rPr>
              <w:rFonts w:hint="eastAsia"/>
            </w:rPr>
            <w:tab/>
          </w:r>
          <w:r>
            <w:rPr>
              <w:rFonts w:hint="eastAsia"/>
            </w:rPr>
            <w:fldChar w:fldCharType="begin"/>
          </w:r>
          <w:r>
            <w:rPr>
              <w:rFonts w:hint="eastAsia"/>
            </w:rPr>
            <w:instrText xml:space="preserve"> </w:instrText>
          </w:r>
          <w:r>
            <w:instrText xml:space="preserve">PAGEREF _Toc176791489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290DD9EC">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"_Toc176791490" </w:instrText>
          </w:r>
          <w:r>
            <w:fldChar w:fldCharType="separate"/>
          </w:r>
          <w:r>
            <w:rPr>
              <w:rStyle w:val="23"/>
              <w:rFonts w:hint="eastAsia"/>
            </w:rPr>
            <w:t>7.7.</w:t>
          </w:r>
          <w:r>
            <w:rPr>
              <w:rFonts w:hint="eastAsia" w:asciiTheme="minorHAnsi" w:hAnsiTheme="minorHAnsi" w:eastAsiaTheme="minorEastAsia" w:cstheme="minorBidi"/>
              <w:spacing w:val="0"/>
              <w:sz w:val="21"/>
              <w:szCs w:val="22"/>
              <w14:ligatures w14:val="standardContextual"/>
            </w:rPr>
            <w:tab/>
          </w:r>
          <w:r>
            <w:rPr>
              <w:rStyle w:val="23"/>
              <w:rFonts w:hint="eastAsia"/>
            </w:rPr>
            <w:t>培训内容</w:t>
          </w:r>
          <w:r>
            <w:rPr>
              <w:rFonts w:hint="eastAsia"/>
            </w:rPr>
            <w:tab/>
          </w:r>
          <w:r>
            <w:rPr>
              <w:rFonts w:hint="eastAsia"/>
            </w:rPr>
            <w:fldChar w:fldCharType="begin"/>
          </w:r>
          <w:r>
            <w:rPr>
              <w:rFonts w:hint="eastAsia"/>
            </w:rPr>
            <w:instrText xml:space="preserve"> </w:instrText>
          </w:r>
          <w:r>
            <w:instrText xml:space="preserve">PAGEREF _Toc176791490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1119E044">
          <w:pPr>
            <w:pStyle w:val="17"/>
            <w:tabs>
              <w:tab w:val="left" w:pos="1050"/>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"_Toc176791491" </w:instrText>
          </w:r>
          <w:r>
            <w:fldChar w:fldCharType="separate"/>
          </w:r>
          <w:r>
            <w:rPr>
              <w:rStyle w:val="23"/>
              <w:rFonts w:hint="eastAsia"/>
            </w:rPr>
            <w:t>8.</w:t>
          </w:r>
          <w:r>
            <w:rPr>
              <w:rFonts w:hint="eastAsia" w:asciiTheme="minorHAnsi" w:hAnsiTheme="minorHAnsi" w:eastAsiaTheme="minorEastAsia" w:cstheme="minorBidi"/>
              <w:spacing w:val="0"/>
              <w:sz w:val="21"/>
              <w:szCs w:val="22"/>
              <w14:ligatures w14:val="standardContextual"/>
            </w:rPr>
            <w:tab/>
          </w:r>
          <w:r>
            <w:rPr>
              <w:rStyle w:val="23"/>
              <w:rFonts w:hint="eastAsia"/>
            </w:rPr>
            <w:t>项目实施进度</w:t>
          </w:r>
          <w:r>
            <w:rPr>
              <w:rFonts w:hint="eastAsia"/>
            </w:rPr>
            <w:tab/>
          </w:r>
          <w:r>
            <w:rPr>
              <w:rFonts w:hint="eastAsia"/>
            </w:rPr>
            <w:fldChar w:fldCharType="begin"/>
          </w:r>
          <w:r>
            <w:rPr>
              <w:rFonts w:hint="eastAsia"/>
            </w:rPr>
            <w:instrText xml:space="preserve"> </w:instrText>
          </w:r>
          <w:r>
            <w:instrText xml:space="preserve">PAGEREF _Toc176791491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0CE38383">
          <w:pPr>
            <w:pStyle w:val="17"/>
            <w:tabs>
              <w:tab w:val="left" w:pos="1050"/>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"_Toc176791492" </w:instrText>
          </w:r>
          <w:r>
            <w:fldChar w:fldCharType="separate"/>
          </w:r>
          <w:r>
            <w:rPr>
              <w:rStyle w:val="23"/>
              <w:rFonts w:hint="eastAsia"/>
            </w:rPr>
            <w:t>9.</w:t>
          </w:r>
          <w:r>
            <w:rPr>
              <w:rFonts w:hint="eastAsia" w:asciiTheme="minorHAnsi" w:hAnsiTheme="minorHAnsi" w:eastAsiaTheme="minorEastAsia" w:cstheme="minorBidi"/>
              <w:spacing w:val="0"/>
              <w:sz w:val="21"/>
              <w:szCs w:val="22"/>
              <w14:ligatures w14:val="standardContextual"/>
            </w:rPr>
            <w:tab/>
          </w:r>
          <w:r>
            <w:rPr>
              <w:rStyle w:val="23"/>
              <w:rFonts w:hint="eastAsia"/>
            </w:rPr>
            <w:t>项目风险分析</w:t>
          </w:r>
          <w:r>
            <w:rPr>
              <w:rFonts w:hint="eastAsia"/>
            </w:rPr>
            <w:tab/>
          </w:r>
          <w:r>
            <w:rPr>
              <w:rFonts w:hint="eastAsia"/>
            </w:rPr>
            <w:fldChar w:fldCharType="begin"/>
          </w:r>
          <w:r>
            <w:rPr>
              <w:rFonts w:hint="eastAsia"/>
            </w:rPr>
            <w:instrText xml:space="preserve"> </w:instrText>
          </w:r>
          <w:r>
            <w:instrText xml:space="preserve">PAGEREF _Toc176791492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14:paraId="1F003B9A">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"_Toc176791493" </w:instrText>
          </w:r>
          <w:r>
            <w:fldChar w:fldCharType="separate"/>
          </w:r>
          <w:r>
            <w:rPr>
              <w:rStyle w:val="23"/>
              <w:rFonts w:hint="eastAsia"/>
            </w:rPr>
            <w:t>9.1.</w:t>
          </w:r>
          <w:r>
            <w:rPr>
              <w:rFonts w:hint="eastAsia" w:asciiTheme="minorHAnsi" w:hAnsiTheme="minorHAnsi" w:eastAsiaTheme="minorEastAsia" w:cstheme="minorBidi"/>
              <w:spacing w:val="0"/>
              <w:sz w:val="21"/>
              <w:szCs w:val="22"/>
              <w14:ligatures w14:val="standardContextual"/>
            </w:rPr>
            <w:tab/>
          </w:r>
          <w:r>
            <w:rPr>
              <w:rStyle w:val="23"/>
              <w:rFonts w:hint="eastAsia"/>
            </w:rPr>
            <w:t>协调风险及控制</w:t>
          </w:r>
          <w:r>
            <w:rPr>
              <w:rFonts w:hint="eastAsia"/>
            </w:rPr>
            <w:tab/>
          </w:r>
          <w:r>
            <w:rPr>
              <w:rFonts w:hint="eastAsia"/>
            </w:rPr>
            <w:fldChar w:fldCharType="begin"/>
          </w:r>
          <w:r>
            <w:rPr>
              <w:rFonts w:hint="eastAsia"/>
            </w:rPr>
            <w:instrText xml:space="preserve"> </w:instrText>
          </w:r>
          <w:r>
            <w:instrText xml:space="preserve">PAGEREF _Toc176791493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14:paraId="33934ED5">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"_Toc176791494" </w:instrText>
          </w:r>
          <w:r>
            <w:fldChar w:fldCharType="separate"/>
          </w:r>
          <w:r>
            <w:rPr>
              <w:rStyle w:val="23"/>
              <w:rFonts w:hint="eastAsia"/>
            </w:rPr>
            <w:t>9.2.</w:t>
          </w:r>
          <w:r>
            <w:rPr>
              <w:rFonts w:hint="eastAsia" w:asciiTheme="minorHAnsi" w:hAnsiTheme="minorHAnsi" w:eastAsiaTheme="minorEastAsia" w:cstheme="minorBidi"/>
              <w:spacing w:val="0"/>
              <w:sz w:val="21"/>
              <w:szCs w:val="22"/>
              <w14:ligatures w14:val="standardContextual"/>
            </w:rPr>
            <w:tab/>
          </w:r>
          <w:r>
            <w:rPr>
              <w:rStyle w:val="23"/>
              <w:rFonts w:hint="eastAsia"/>
            </w:rPr>
            <w:t>项目技术风险控制</w:t>
          </w:r>
          <w:r>
            <w:rPr>
              <w:rFonts w:hint="eastAsia"/>
            </w:rPr>
            <w:tab/>
          </w:r>
          <w:r>
            <w:rPr>
              <w:rFonts w:hint="eastAsia"/>
            </w:rPr>
            <w:fldChar w:fldCharType="begin"/>
          </w:r>
          <w:r>
            <w:rPr>
              <w:rFonts w:hint="eastAsia"/>
            </w:rPr>
            <w:instrText xml:space="preserve"> </w:instrText>
          </w:r>
          <w:r>
            <w:instrText xml:space="preserve">PAGEREF _Toc176791494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14:paraId="43D82094">
          <w:pPr>
            <w:pStyle w:val="18"/>
            <w:tabs>
              <w:tab w:val="left" w:pos="1680"/>
              <w:tab w:val="right" w:leader="dot" w:pos="8296"/>
            </w:tabs>
            <w:ind w:left="520"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"_Toc176791495" </w:instrText>
          </w:r>
          <w:r>
            <w:fldChar w:fldCharType="separate"/>
          </w:r>
          <w:r>
            <w:rPr>
              <w:rStyle w:val="23"/>
              <w:rFonts w:hint="eastAsia"/>
            </w:rPr>
            <w:t>9.3.</w:t>
          </w:r>
          <w:r>
            <w:rPr>
              <w:rFonts w:hint="eastAsia" w:asciiTheme="minorHAnsi" w:hAnsiTheme="minorHAnsi" w:eastAsiaTheme="minorEastAsia" w:cstheme="minorBidi"/>
              <w:spacing w:val="0"/>
              <w:sz w:val="21"/>
              <w:szCs w:val="22"/>
              <w14:ligatures w14:val="standardContextual"/>
            </w:rPr>
            <w:tab/>
          </w:r>
          <w:r>
            <w:rPr>
              <w:rStyle w:val="23"/>
              <w:rFonts w:hint="eastAsia"/>
            </w:rPr>
            <w:t>社会影响风险及控制</w:t>
          </w:r>
          <w:r>
            <w:rPr>
              <w:rFonts w:hint="eastAsia"/>
            </w:rPr>
            <w:tab/>
          </w:r>
          <w:r>
            <w:rPr>
              <w:rFonts w:hint="eastAsia"/>
            </w:rPr>
            <w:fldChar w:fldCharType="begin"/>
          </w:r>
          <w:r>
            <w:rPr>
              <w:rFonts w:hint="eastAsia"/>
            </w:rPr>
            <w:instrText xml:space="preserve"> </w:instrText>
          </w:r>
          <w:r>
            <w:instrText xml:space="preserve">PAGEREF _Toc176791495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14:paraId="000CB6AA">
          <w:pPr>
            <w:pStyle w:val="17"/>
            <w:tabs>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"_Toc176791496" </w:instrText>
          </w:r>
          <w:r>
            <w:fldChar w:fldCharType="separate"/>
          </w:r>
          <w:r>
            <w:rPr>
              <w:rStyle w:val="23"/>
              <w:rFonts w:hint="eastAsia"/>
            </w:rPr>
            <w:t>附表1：项目软件配置清单及预算</w:t>
          </w:r>
          <w:r>
            <w:rPr>
              <w:rFonts w:hint="eastAsia"/>
            </w:rPr>
            <w:tab/>
          </w:r>
          <w:r>
            <w:rPr>
              <w:rFonts w:hint="eastAsia"/>
            </w:rPr>
            <w:fldChar w:fldCharType="begin"/>
          </w:r>
          <w:r>
            <w:rPr>
              <w:rFonts w:hint="eastAsia"/>
            </w:rPr>
            <w:instrText xml:space="preserve"> </w:instrText>
          </w:r>
          <w:r>
            <w:instrText xml:space="preserve">PAGEREF _Toc176791496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59B9F07C">
          <w:pPr>
            <w:pStyle w:val="17"/>
            <w:tabs>
              <w:tab w:val="right" w:leader="dot" w:pos="8296"/>
            </w:tabs>
            <w:ind w:firstLine="480"/>
            <w:rPr>
              <w:rFonts w:hint="eastAsia" w:asciiTheme="minorHAnsi" w:hAnsiTheme="minorHAnsi" w:eastAsiaTheme="minorEastAsia" w:cstheme="minorBidi"/>
              <w:spacing w:val="0"/>
              <w:sz w:val="21"/>
              <w:szCs w:val="22"/>
              <w14:ligatures w14:val="standardContextual"/>
            </w:rPr>
          </w:pPr>
          <w:r>
            <w:fldChar w:fldCharType="begin"/>
          </w:r>
          <w:r>
            <w:instrText xml:space="preserve"> HYPERLINK \l "_Toc176791497" </w:instrText>
          </w:r>
          <w:r>
            <w:fldChar w:fldCharType="separate"/>
          </w:r>
          <w:r>
            <w:rPr>
              <w:rStyle w:val="23"/>
              <w:rFonts w:hint="eastAsia"/>
            </w:rPr>
            <w:t>附表2：项目详细配置清单</w:t>
          </w:r>
          <w:r>
            <w:rPr>
              <w:rFonts w:hint="eastAsia"/>
            </w:rPr>
            <w:tab/>
          </w:r>
          <w:r>
            <w:rPr>
              <w:rFonts w:hint="eastAsia"/>
            </w:rPr>
            <w:fldChar w:fldCharType="begin"/>
          </w:r>
          <w:r>
            <w:rPr>
              <w:rFonts w:hint="eastAsia"/>
            </w:rPr>
            <w:instrText xml:space="preserve"> </w:instrText>
          </w:r>
          <w:r>
            <w:instrText xml:space="preserve">PAGEREF _Toc176791497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13814039">
          <w:pPr>
            <w:ind w:firstLine="480"/>
            <w:rPr>
              <w:rFonts w:hint="eastAsia"/>
              <w:b/>
            </w:rPr>
            <w:sectPr>
              <w:headerReference r:id="rId11" w:type="default"/>
              <w:footerReference r:id="rId12" w:type="default"/>
              <w:pgSz w:w="11906" w:h="16838"/>
              <w:pgMar w:top="1440" w:right="1800" w:bottom="1440" w:left="1800" w:header="851" w:footer="992" w:gutter="0"/>
              <w:pgBorders>
                <w:top w:val="single" w:color="auto" w:sz="4" w:space="1"/>
                <w:bottom w:val="single" w:color="auto" w:sz="4" w:space="1"/>
              </w:pgBorders>
              <w:pgNumType w:fmt="lowerRoman" w:start="1"/>
              <w:cols w:space="425" w:num="1"/>
              <w:docGrid w:type="lines" w:linePitch="312" w:charSpace="0"/>
            </w:sectPr>
          </w:pPr>
          <w:r>
            <w:fldChar w:fldCharType="end"/>
          </w:r>
        </w:p>
      </w:sdtContent>
    </w:sdt>
    <w:p w14:paraId="076CB51F">
      <w:pPr>
        <w:pStyle w:val="3"/>
        <w:ind w:left="425" w:hanging="425"/>
        <w:rPr>
          <w:rFonts w:hint="eastAsia"/>
        </w:rPr>
      </w:pPr>
      <w:bookmarkStart w:id="0" w:name="_Toc176791456"/>
      <w:r>
        <w:rPr>
          <w:rFonts w:hint="eastAsia"/>
        </w:rPr>
        <w:t>项目简介</w:t>
      </w:r>
      <w:bookmarkEnd w:id="0"/>
    </w:p>
    <w:p w14:paraId="6A2349E6">
      <w:pPr>
        <w:pStyle w:val="4"/>
        <w:rPr>
          <w:rFonts w:hint="eastAsia"/>
        </w:rPr>
      </w:pPr>
      <w:bookmarkStart w:id="1" w:name="_Toc176791459"/>
      <w:r>
        <w:rPr>
          <w:rFonts w:hint="eastAsia"/>
        </w:rPr>
        <w:t>项目建议书编制依据</w:t>
      </w:r>
      <w:bookmarkEnd w:id="1"/>
    </w:p>
    <w:p w14:paraId="706A1FA9">
      <w:pPr>
        <w:pStyle w:val="2"/>
        <w:rPr>
          <w:rFonts w:hint="eastAsia"/>
        </w:rPr>
      </w:pPr>
      <w:r>
        <w:rPr>
          <w:rFonts w:hint="eastAsia"/>
        </w:rPr>
        <w:t>1、通过中讯邮电咨询设计院有限公司现场调查收集的资料，分别包括了信息科和相关科室人员的建议。</w:t>
      </w:r>
    </w:p>
    <w:p w14:paraId="0CF9DA63">
      <w:pPr>
        <w:pStyle w:val="2"/>
        <w:rPr>
          <w:rFonts w:hint="eastAsia"/>
        </w:rPr>
      </w:pPr>
      <w:r>
        <w:rPr>
          <w:rFonts w:hint="eastAsia"/>
        </w:rPr>
        <w:t>2、进一步改善医疗服务行动计划（2018-2020年）。</w:t>
      </w:r>
    </w:p>
    <w:p w14:paraId="512F7E93">
      <w:pPr>
        <w:pStyle w:val="2"/>
        <w:ind w:firstLine="0" w:firstLineChars="0"/>
        <w:rPr>
          <w:rFonts w:hint="eastAsia"/>
        </w:rPr>
      </w:pPr>
      <w:r>
        <w:drawing>
          <wp:inline distT="0" distB="0" distL="0" distR="0">
            <wp:extent cx="5274310" cy="4484370"/>
            <wp:effectExtent l="0" t="0" r="13970" b="11430"/>
            <wp:docPr id="18481010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01026" name="图片 1"/>
                    <pic:cNvPicPr>
                      <a:picLocks noChangeAspect="1"/>
                    </pic:cNvPicPr>
                  </pic:nvPicPr>
                  <pic:blipFill>
                    <a:blip r:embed="rId17"/>
                    <a:stretch>
                      <a:fillRect/>
                    </a:stretch>
                  </pic:blipFill>
                  <pic:spPr>
                    <a:xfrm>
                      <a:off x="0" y="0"/>
                      <a:ext cx="5274310" cy="4484370"/>
                    </a:xfrm>
                    <a:prstGeom prst="rect">
                      <a:avLst/>
                    </a:prstGeom>
                  </pic:spPr>
                </pic:pic>
              </a:graphicData>
            </a:graphic>
          </wp:inline>
        </w:drawing>
      </w:r>
    </w:p>
    <w:p w14:paraId="00357CA2">
      <w:pPr>
        <w:ind w:firstLine="0" w:firstLineChars="0"/>
        <w:rPr>
          <w:rFonts w:hint="eastAsia"/>
        </w:rPr>
      </w:pPr>
    </w:p>
    <w:p w14:paraId="25F93CA4">
      <w:pPr>
        <w:pStyle w:val="2"/>
        <w:rPr>
          <w:rFonts w:hint="eastAsia"/>
        </w:rPr>
        <w:sectPr>
          <w:footerReference r:id="rId13" w:type="default"/>
          <w:pgSz w:w="11906" w:h="16838"/>
          <w:pgMar w:top="1440" w:right="1800" w:bottom="1440" w:left="1800" w:header="851" w:footer="992" w:gutter="0"/>
          <w:pgBorders>
            <w:top w:val="single" w:color="auto" w:sz="4" w:space="1"/>
            <w:bottom w:val="single" w:color="auto" w:sz="4" w:space="1"/>
          </w:pgBorders>
          <w:pgNumType w:start="1"/>
          <w:cols w:space="425" w:num="1"/>
          <w:docGrid w:type="lines" w:linePitch="312" w:charSpace="0"/>
        </w:sectPr>
      </w:pPr>
    </w:p>
    <w:p w14:paraId="48887AB2">
      <w:pPr>
        <w:pStyle w:val="4"/>
        <w:rPr>
          <w:rFonts w:hint="eastAsia"/>
        </w:rPr>
      </w:pPr>
      <w:bookmarkStart w:id="2" w:name="_Toc176791460"/>
      <w:r>
        <w:rPr>
          <w:rFonts w:hint="eastAsia"/>
        </w:rPr>
        <w:t>项目概况</w:t>
      </w:r>
      <w:bookmarkEnd w:id="2"/>
    </w:p>
    <w:p w14:paraId="2FDD96C9">
      <w:pPr>
        <w:rPr>
          <w:rFonts w:hint="eastAsia"/>
        </w:rPr>
      </w:pPr>
      <w:r>
        <w:rPr>
          <w:rFonts w:hint="eastAsia"/>
        </w:rPr>
        <w:t>医院全面引入智慧理念，包括智慧医疗、智慧护理、智慧后勤、智慧保障。配置一大批国际国内一流的先进设备，包括目前数字化程度最高的磁共振系统，全球最高端的通用型血管造影设备，省内最完整的静脉药配置流水线和生化免疫流水线，功能全面智慧升级的数字一体化手术室等。在工程建设中应用BIM技术（Building Information Modeling ），为后期落实智能化运维管理夯实了智慧基础。</w:t>
      </w:r>
    </w:p>
    <w:p w14:paraId="3484C6C0">
      <w:pPr>
        <w:rPr>
          <w:rFonts w:hint="eastAsia"/>
        </w:rPr>
      </w:pPr>
      <w:r>
        <w:rPr>
          <w:rFonts w:hint="eastAsia"/>
        </w:rPr>
        <w:t>移动输液是智慧病房的一部分，作为智慧医疗的重要细分领域，其主要理念其实就是全球医疗院所中蔚为风尚的“床边服务观念”，过去可能只是依赖医护人员及许多医疗设备提供的各种信息来完成，现在透过病房医疗信息系统加以整合，并配合物联网的通讯功能，让医护人员不用随伺在病患身边，也能提供实时服务。不但可减少医护人力的负担，更重要的是，透过病房医疗信息系统，还能进一步与智能医院其他系统如电子病历相结合，进而提升医患关系与医疗服务质量。</w:t>
      </w:r>
    </w:p>
    <w:p w14:paraId="6086BE79">
      <w:pPr>
        <w:pStyle w:val="4"/>
        <w:rPr>
          <w:rFonts w:hint="eastAsia"/>
        </w:rPr>
      </w:pPr>
      <w:bookmarkStart w:id="3" w:name="_Toc176791461"/>
      <w:r>
        <w:rPr>
          <w:rFonts w:hint="eastAsia"/>
        </w:rPr>
        <w:t>主要结论和建议</w:t>
      </w:r>
      <w:bookmarkEnd w:id="3"/>
    </w:p>
    <w:p w14:paraId="4C0D373A">
      <w:pPr>
        <w:rPr>
          <w:rFonts w:hint="eastAsia"/>
        </w:rPr>
      </w:pPr>
      <w:r>
        <w:rPr>
          <w:rFonts w:hint="eastAsia"/>
        </w:rPr>
        <w:t>结论：随着医改的不断深入，医院的信息化建设是必然的趋势。2016年10月，国家卫生和计划生育委员会印发了《医院信息平台应用功能指引》。该文件从惠民服务、医疗业务、医疗管理、运营管理、医疗协同、数据应用、移动医疗、信息安全、信息平台基础九个方面对医院的信息化建设提供了指引。其中有提到要实现便民结算，针对患者不同需求，提供诊间结算、床旁结算、移动支付等方便患者的费用结算方式；要实现智能导航，通过专用固定终端或移动终端为患者提供医院范围内的智能导航，包括车位、地图导航、科室分布导航等；要实现满意度评价功能，患者对预约、接诊、收费、药房、检查、陪护等就医过程进行评价。且文件中提出，要为医生查房、护士护理提供便捷。为医生提供移动查房时，直接调阅病人本次或历史就诊的住院病历、检验报告、检查报告、生命体征等信息，支持直接下达医嘱等工作实时记录，方便医生分析病人情况，修订治疗方案；实现护理服务从计划、执行、跟踪到结束的全过程监督管理，支持各类医嘱的闭环执行跟踪，智能提醒护理关注要点，简化护理记录，降低护士工作强度，提升护理工作效率和质量。</w:t>
      </w:r>
    </w:p>
    <w:p w14:paraId="47C4F7FC">
      <w:pPr>
        <w:rPr>
          <w:rFonts w:hint="eastAsia"/>
        </w:rPr>
      </w:pPr>
      <w:r>
        <w:rPr>
          <w:rFonts w:hint="eastAsia"/>
        </w:rPr>
        <w:t>建议：为有利于该项目的顺利开展，建议及时组织相关信息化技术人员成立医院信息化项目工作小组，继续完善项目建设方案，加快项目推进步伐。并建议落实项目建设资金，继续本项目的工程设计及概算编制、招标文件编制及相关招投标工作，争取2024年底竣工验收，2025年初试运营。</w:t>
      </w:r>
    </w:p>
    <w:p w14:paraId="7DD7D40F">
      <w:pPr>
        <w:pStyle w:val="3"/>
        <w:rPr>
          <w:rFonts w:hint="eastAsia"/>
        </w:rPr>
      </w:pPr>
      <w:bookmarkStart w:id="4" w:name="_Toc176791462"/>
      <w:r>
        <w:rPr>
          <w:rFonts w:hint="eastAsia"/>
        </w:rPr>
        <w:t>项目建设单位概况</w:t>
      </w:r>
      <w:bookmarkEnd w:id="4"/>
    </w:p>
    <w:p w14:paraId="57F8F0FF">
      <w:pPr>
        <w:pStyle w:val="4"/>
        <w:rPr>
          <w:rFonts w:hint="eastAsia"/>
        </w:rPr>
      </w:pPr>
      <w:bookmarkStart w:id="5" w:name="_Toc176791464"/>
      <w:r>
        <w:rPr>
          <w:rFonts w:hint="eastAsia"/>
        </w:rPr>
        <w:t>项目实施机构与职责</w:t>
      </w:r>
      <w:bookmarkEnd w:id="5"/>
    </w:p>
    <w:p w14:paraId="494BE70E">
      <w:pPr>
        <w:pStyle w:val="5"/>
        <w:tabs>
          <w:tab w:val="left" w:pos="0"/>
          <w:tab w:val="left" w:pos="720"/>
        </w:tabs>
        <w:ind w:left="0"/>
        <w:rPr>
          <w:rFonts w:hint="eastAsia"/>
        </w:rPr>
      </w:pPr>
      <w:r>
        <w:rPr>
          <w:rFonts w:hint="eastAsia"/>
        </w:rPr>
        <w:t>信息科</w:t>
      </w:r>
    </w:p>
    <w:p w14:paraId="3ACFB816">
      <w:pPr>
        <w:pStyle w:val="2"/>
        <w:rPr>
          <w:rFonts w:hint="eastAsia"/>
        </w:rPr>
      </w:pPr>
      <w:r>
        <w:rPr>
          <w:rFonts w:ascii="Times New Roman" w:hAnsi="Times New Roman"/>
        </w:rPr>
        <w:t>‌</w:t>
      </w:r>
      <w:r>
        <w:rPr>
          <w:rFonts w:hint="eastAsia" w:ascii="Times New Roman" w:hAnsi="Times New Roman"/>
        </w:rPr>
        <w:t>1、</w:t>
      </w:r>
      <w:r>
        <w:rPr>
          <w:rFonts w:hint="eastAsia"/>
        </w:rPr>
        <w:t>优化输液管理流程</w:t>
      </w:r>
      <w:r>
        <w:rPr>
          <w:rFonts w:hint="eastAsia" w:ascii="仿宋" w:hAnsi="仿宋" w:cs="仿宋"/>
        </w:rPr>
        <w:t>，通过引入移动输液信息系统，可以改变传统输液护士接收药品、核对、配制、注射、巡视等环节，实现输液管理的数字化和自动化，提高工作效率和服务质量。</w:t>
      </w:r>
    </w:p>
    <w:p w14:paraId="7528EA58">
      <w:pPr>
        <w:pStyle w:val="2"/>
        <w:rPr>
          <w:rFonts w:hint="eastAsia"/>
        </w:rPr>
      </w:pPr>
      <w:r>
        <w:rPr>
          <w:rFonts w:hint="eastAsia" w:ascii="Times New Roman" w:hAnsi="Times New Roman"/>
        </w:rPr>
        <w:t>2、</w:t>
      </w:r>
      <w:r>
        <w:t>提高输液安全</w:t>
      </w:r>
      <w:r>
        <w:rPr>
          <w:rFonts w:ascii="Times New Roman" w:hAnsi="Times New Roman"/>
        </w:rPr>
        <w:t>‌</w:t>
      </w:r>
      <w:r>
        <w:rPr>
          <w:rFonts w:hint="eastAsia"/>
        </w:rPr>
        <w:t>，</w:t>
      </w:r>
      <w:r>
        <w:t>系统通过条码技术和无线射频识别技术，实现对病人身份和药物的条形码核对功能，杜绝医疗差错，为患者输液增加了一道安全防线。</w:t>
      </w:r>
    </w:p>
    <w:p w14:paraId="118621C1">
      <w:pPr>
        <w:pStyle w:val="2"/>
        <w:rPr>
          <w:rFonts w:hint="eastAsia"/>
        </w:rPr>
      </w:pPr>
      <w:r>
        <w:rPr>
          <w:rFonts w:hint="eastAsia"/>
        </w:rPr>
        <w:t>3、</w:t>
      </w:r>
      <w:r>
        <w:rPr>
          <w:rFonts w:ascii="Times New Roman" w:hAnsi="Times New Roman"/>
        </w:rPr>
        <w:t>‌</w:t>
      </w:r>
      <w:r>
        <w:t>减少医患矛盾</w:t>
      </w:r>
      <w:r>
        <w:rPr>
          <w:rFonts w:hint="eastAsia" w:ascii="Times New Roman" w:hAnsi="Times New Roman"/>
        </w:rPr>
        <w:t>，</w:t>
      </w:r>
      <w:r>
        <w:t>通过改善工作流程和减少人为错误，减少因排队拥挤和等待时间过长引起的患者不满，营造更好的就医环境，减少不愉快医患关系的发生。</w:t>
      </w:r>
    </w:p>
    <w:p w14:paraId="52F72771">
      <w:pPr>
        <w:pStyle w:val="2"/>
        <w:rPr>
          <w:rFonts w:hint="eastAsia"/>
        </w:rPr>
      </w:pPr>
      <w:r>
        <w:rPr>
          <w:rFonts w:hint="eastAsia" w:ascii="Times New Roman" w:hAnsi="Times New Roman"/>
        </w:rPr>
        <w:t>4、</w:t>
      </w:r>
      <w:r>
        <w:t>提升管理质量</w:t>
      </w:r>
      <w:r>
        <w:rPr>
          <w:rFonts w:hint="eastAsia" w:ascii="Times New Roman" w:hAnsi="Times New Roman"/>
        </w:rPr>
        <w:t>，</w:t>
      </w:r>
      <w:r>
        <w:t>信息系统对护士执行医嘱过程的实时记录为护士工作的量化考核提供依据，提升医院的管理质量。。</w:t>
      </w:r>
    </w:p>
    <w:p w14:paraId="23D4044D">
      <w:pPr>
        <w:pStyle w:val="5"/>
        <w:tabs>
          <w:tab w:val="left" w:pos="0"/>
          <w:tab w:val="left" w:pos="720"/>
        </w:tabs>
        <w:ind w:left="0"/>
        <w:rPr>
          <w:rFonts w:hint="eastAsia"/>
        </w:rPr>
      </w:pPr>
      <w:r>
        <w:rPr>
          <w:rFonts w:hint="eastAsia"/>
        </w:rPr>
        <w:t>护理部</w:t>
      </w:r>
    </w:p>
    <w:p w14:paraId="5951BF9D">
      <w:pPr>
        <w:rPr>
          <w:rFonts w:hint="eastAsia"/>
        </w:rPr>
      </w:pPr>
      <w:r>
        <w:rPr>
          <w:rFonts w:ascii="Times New Roman" w:hAnsi="Times New Roman"/>
        </w:rPr>
        <w:t>‌</w:t>
      </w:r>
      <w:r>
        <w:rPr>
          <w:rFonts w:hint="eastAsia" w:ascii="Times New Roman" w:hAnsi="Times New Roman"/>
        </w:rPr>
        <w:t>1、</w:t>
      </w:r>
      <w:r>
        <w:rPr>
          <w:rFonts w:hint="eastAsia"/>
        </w:rPr>
        <w:t>制定和实施护理工作规划</w:t>
      </w:r>
      <w:r>
        <w:rPr>
          <w:rFonts w:hint="eastAsia" w:ascii="Courier New" w:hAnsi="Courier New" w:cs="Courier New"/>
        </w:rPr>
        <w:t>，</w:t>
      </w:r>
      <w:r>
        <w:rPr>
          <w:rFonts w:hint="eastAsia" w:ascii="仿宋" w:hAnsi="仿宋" w:cs="仿宋"/>
        </w:rPr>
        <w:t>根据相关法规和医院的工作规划，制定医院的护理工作规划，并组织实施。这包括制定护理规章制度、护理常规、技术规范以及各级护理人员的岗位职责和质量标准，以提高护理质量和服务水平</w:t>
      </w:r>
      <w:r>
        <w:t>。</w:t>
      </w:r>
    </w:p>
    <w:p w14:paraId="6071D88E">
      <w:pPr>
        <w:rPr>
          <w:rFonts w:hint="eastAsia"/>
        </w:rPr>
      </w:pPr>
      <w:r>
        <w:rPr>
          <w:rFonts w:hint="eastAsia"/>
        </w:rPr>
        <w:t>2、</w:t>
      </w:r>
      <w:r>
        <w:rPr>
          <w:rFonts w:ascii="Times New Roman" w:hAnsi="Times New Roman"/>
        </w:rPr>
        <w:t>‌</w:t>
      </w:r>
      <w:r>
        <w:t>质量管理</w:t>
      </w:r>
      <w:r>
        <w:rPr>
          <w:rFonts w:hint="eastAsia" w:ascii="Times New Roman" w:hAnsi="Times New Roman"/>
        </w:rPr>
        <w:t>，</w:t>
      </w:r>
      <w:r>
        <w:t>负责全院的护理质量监督检查、评价、反馈和改进工作，包括对护理不良事件的调查、分析和整改落实</w:t>
      </w:r>
      <w:r>
        <w:rPr>
          <w:rFonts w:ascii="Times New Roman" w:hAnsi="Times New Roman"/>
        </w:rPr>
        <w:t>‌</w:t>
      </w:r>
      <w:r>
        <w:t>。</w:t>
      </w:r>
    </w:p>
    <w:p w14:paraId="511570FC">
      <w:pPr>
        <w:rPr>
          <w:rFonts w:hint="eastAsia"/>
        </w:rPr>
      </w:pPr>
      <w:r>
        <w:rPr>
          <w:rFonts w:hint="eastAsia" w:ascii="Times New Roman" w:hAnsi="Times New Roman"/>
        </w:rPr>
        <w:t>3、</w:t>
      </w:r>
      <w:r>
        <w:t>人员管理</w:t>
      </w:r>
      <w:r>
        <w:rPr>
          <w:rFonts w:ascii="Times New Roman" w:hAnsi="Times New Roman"/>
        </w:rPr>
        <w:t>‌</w:t>
      </w:r>
      <w:r>
        <w:rPr>
          <w:rFonts w:hint="eastAsia"/>
        </w:rPr>
        <w:t>，</w:t>
      </w:r>
      <w:r>
        <w:t>负责护士的注册、执业资格审定、审核工作，以及新上岗护士的规范化培训和转正考核等工作。此外，还负责医院内部护理岗位的调配，实现护理人员的合理配置与使用</w:t>
      </w:r>
      <w:r>
        <w:rPr>
          <w:rFonts w:ascii="Times New Roman" w:hAnsi="Times New Roman"/>
        </w:rPr>
        <w:t>‌</w:t>
      </w:r>
      <w:r>
        <w:t>。</w:t>
      </w:r>
    </w:p>
    <w:p w14:paraId="66693232">
      <w:pPr>
        <w:rPr>
          <w:rFonts w:hint="eastAsia"/>
        </w:rPr>
      </w:pPr>
      <w:r>
        <w:rPr>
          <w:rFonts w:hint="eastAsia" w:ascii="Times New Roman" w:hAnsi="Times New Roman"/>
        </w:rPr>
        <w:t>4、</w:t>
      </w:r>
      <w:r>
        <w:t>教学和培训</w:t>
      </w:r>
      <w:r>
        <w:rPr>
          <w:rFonts w:ascii="Times New Roman" w:hAnsi="Times New Roman"/>
        </w:rPr>
        <w:t>‌</w:t>
      </w:r>
      <w:r>
        <w:rPr>
          <w:rFonts w:hint="eastAsia"/>
        </w:rPr>
        <w:t>，</w:t>
      </w:r>
      <w:r>
        <w:t>负责护理实习、见习和进修护士的临床教学及管理工作，落实护理教学计划。同时，负责组织领导全院护理人员的业务培训，制定各级护理人员考核培训计划，以提高护理队伍的业务水平</w:t>
      </w:r>
      <w:r>
        <w:rPr>
          <w:rFonts w:ascii="Times New Roman" w:hAnsi="Times New Roman"/>
        </w:rPr>
        <w:t>‌</w:t>
      </w:r>
      <w:r>
        <w:t>。</w:t>
      </w:r>
    </w:p>
    <w:p w14:paraId="5A190F6C">
      <w:pPr>
        <w:rPr>
          <w:rFonts w:hint="eastAsia"/>
        </w:rPr>
      </w:pPr>
      <w:r>
        <w:rPr>
          <w:rFonts w:hint="eastAsia"/>
        </w:rPr>
        <w:t>5、</w:t>
      </w:r>
      <w:r>
        <w:rPr>
          <w:rFonts w:ascii="Times New Roman" w:hAnsi="Times New Roman"/>
        </w:rPr>
        <w:t>‌</w:t>
      </w:r>
      <w:r>
        <w:t>新技术推广</w:t>
      </w:r>
      <w:r>
        <w:rPr>
          <w:rFonts w:ascii="Times New Roman" w:hAnsi="Times New Roman"/>
        </w:rPr>
        <w:t>‌</w:t>
      </w:r>
      <w:r>
        <w:rPr>
          <w:rFonts w:hint="eastAsia"/>
        </w:rPr>
        <w:t>，</w:t>
      </w:r>
      <w:r>
        <w:t>负责护理新技术、新业务的准入审核，并积极组织开展护理学术交流</w:t>
      </w:r>
      <w:r>
        <w:rPr>
          <w:rFonts w:ascii="Times New Roman" w:hAnsi="Times New Roman"/>
        </w:rPr>
        <w:t>‌</w:t>
      </w:r>
      <w:r>
        <w:t>。</w:t>
      </w:r>
    </w:p>
    <w:p w14:paraId="706C381B">
      <w:pPr>
        <w:rPr>
          <w:rFonts w:hint="eastAsia"/>
        </w:rPr>
      </w:pPr>
      <w:r>
        <w:rPr>
          <w:rFonts w:hint="eastAsia"/>
        </w:rPr>
        <w:t>6、</w:t>
      </w:r>
      <w:r>
        <w:rPr>
          <w:rFonts w:ascii="Times New Roman" w:hAnsi="Times New Roman"/>
        </w:rPr>
        <w:t>‌</w:t>
      </w:r>
      <w:r>
        <w:t>持续改进</w:t>
      </w:r>
      <w:r>
        <w:rPr>
          <w:rFonts w:hint="eastAsia" w:ascii="Times New Roman" w:hAnsi="Times New Roman"/>
        </w:rPr>
        <w:t>，</w:t>
      </w:r>
      <w:r>
        <w:t>建立健全全院护理质量监控网络，年有工作计划、月有检查重点，有记录，并有改进措施。督促、检查、评价护理质量，促进护理质量、安全管理体系的持续改进。</w:t>
      </w:r>
    </w:p>
    <w:p w14:paraId="25043A8B">
      <w:pPr>
        <w:rPr>
          <w:rFonts w:hint="eastAsia"/>
        </w:rPr>
      </w:pPr>
      <w:r>
        <w:rPr>
          <w:rFonts w:hint="eastAsia"/>
        </w:rPr>
        <w:t>7、</w:t>
      </w:r>
      <w:r>
        <w:rPr>
          <w:rFonts w:ascii="Times New Roman" w:hAnsi="Times New Roman"/>
        </w:rPr>
        <w:t>‌</w:t>
      </w:r>
      <w:r>
        <w:t>其他任务</w:t>
      </w:r>
      <w:r>
        <w:rPr>
          <w:rFonts w:hint="eastAsia" w:ascii="Times New Roman" w:hAnsi="Times New Roman"/>
        </w:rPr>
        <w:t>，</w:t>
      </w:r>
      <w:r>
        <w:t>配合完成医院安排的其他工作任务，如协同有关人员进行护理人员的招聘、奖惩、考评工作，协同相关部门探索护理人员聘用制改革及管理工作等</w:t>
      </w:r>
      <w:r>
        <w:rPr>
          <w:rFonts w:ascii="Times New Roman" w:hAnsi="Times New Roman"/>
        </w:rPr>
        <w:t>‌</w:t>
      </w:r>
      <w:r>
        <w:t>。</w:t>
      </w:r>
    </w:p>
    <w:p w14:paraId="69FD8B52">
      <w:pPr>
        <w:pStyle w:val="3"/>
        <w:rPr>
          <w:rFonts w:hint="eastAsia"/>
        </w:rPr>
      </w:pPr>
      <w:bookmarkStart w:id="6" w:name="_Toc176791465"/>
      <w:r>
        <w:rPr>
          <w:rFonts w:hint="eastAsia"/>
        </w:rPr>
        <w:t>项目建设的必要性</w:t>
      </w:r>
      <w:bookmarkEnd w:id="6"/>
    </w:p>
    <w:p w14:paraId="48AAB828">
      <w:pPr>
        <w:pStyle w:val="4"/>
        <w:rPr>
          <w:rFonts w:hint="eastAsia"/>
        </w:rPr>
      </w:pPr>
      <w:bookmarkStart w:id="7" w:name="_Toc176791466"/>
      <w:r>
        <w:rPr>
          <w:rFonts w:hint="eastAsia"/>
        </w:rPr>
        <w:t>项目背景和依据</w:t>
      </w:r>
      <w:bookmarkEnd w:id="7"/>
    </w:p>
    <w:p w14:paraId="20A272A2">
      <w:pPr>
        <w:pStyle w:val="2"/>
        <w:rPr>
          <w:rFonts w:hint="eastAsia"/>
        </w:rPr>
      </w:pPr>
      <w:r>
        <w:rPr>
          <w:rFonts w:hint="eastAsia"/>
        </w:rPr>
        <w:t>医院是一所集医疗、科研、教学、预防保健、卫勤保障为一体的重庆市大型综合性三甲部队编制公立医院。医院聚力于医疗技术创新发展和服务质量提升，大力提升技术实力和发展智慧化医疗，全心全意为官兵及驻地群众提供优质医疗保障。护理与输液是诊疗过程中不可或缺的部分，但传统的管理方式往往存在诸多问题，如人力资源紧张、操作不规范、安全隐患多等。这些问题不仅影响了治疗效果，还可能对患者的生命安全构成威胁。因此，医院亟需一套智慧化、数字化完整的移动护理与智慧输液整体解决方案。</w:t>
      </w:r>
    </w:p>
    <w:p w14:paraId="3F70DE3D">
      <w:pPr>
        <w:pStyle w:val="4"/>
        <w:rPr>
          <w:rFonts w:hint="eastAsia"/>
        </w:rPr>
      </w:pPr>
      <w:bookmarkStart w:id="8" w:name="_Toc176791467"/>
      <w:r>
        <w:rPr>
          <w:rFonts w:hint="eastAsia"/>
        </w:rPr>
        <w:t>移动输液建设标准</w:t>
      </w:r>
      <w:bookmarkEnd w:id="8"/>
    </w:p>
    <w:p w14:paraId="03F57ABD">
      <w:pPr>
        <w:pStyle w:val="2"/>
        <w:rPr>
          <w:rFonts w:hint="eastAsia"/>
        </w:rPr>
      </w:pPr>
      <w:r>
        <w:rPr>
          <w:rFonts w:hint="eastAsia"/>
        </w:rPr>
        <w:t>国家卫健委发布《关于印发促进护理服务业改革与发展指导意见的通知》（2018）</w:t>
      </w:r>
    </w:p>
    <w:p w14:paraId="12F36214">
      <w:pPr>
        <w:pStyle w:val="2"/>
        <w:rPr>
          <w:rFonts w:hint="eastAsia"/>
        </w:rPr>
      </w:pPr>
      <w:r>
        <w:rPr>
          <w:rFonts w:hint="eastAsia"/>
        </w:rPr>
        <w:t>加强护理信息化建设。借助大数据、云计算、物联网和移动通讯等信息技术的快速发展，大力推进护理信息化建设，积极优化护理流程，创新护理服务模式，提高护理效率和管理效能。推动护理领域生活性服务业态创新，改进服务流程，积极发展智慧健康护理等新型业态。</w:t>
      </w:r>
    </w:p>
    <w:p w14:paraId="5313FD95">
      <w:pPr>
        <w:pStyle w:val="2"/>
        <w:rPr>
          <w:rFonts w:hint="eastAsia"/>
        </w:rPr>
      </w:pPr>
      <w:r>
        <w:rPr>
          <w:rFonts w:hint="eastAsia"/>
        </w:rPr>
        <w:t>工信部《促进新一代人工智能产业发展三年行动计划（2018-2020）》</w:t>
      </w:r>
    </w:p>
    <w:p w14:paraId="2F20CDB6">
      <w:pPr>
        <w:pStyle w:val="2"/>
        <w:rPr>
          <w:rFonts w:hint="eastAsia"/>
        </w:rPr>
      </w:pPr>
      <w:r>
        <w:rPr>
          <w:rFonts w:hint="eastAsia"/>
        </w:rPr>
        <w:t>智能服务机器人，支持智能交互、智能操作、多机协作等关键技术研发，提升清洁、老年陪护、康复、助残、儿童教育等家庭服务机器人的智能化水平，推动巡检、导览等公共服务机器人以及消防救援机器人等的创新应用。发展三维成像定位、智能精准安全操控、人机协作接口等关键技术，支持手术机器人操作系统研发，推动手术机器人在临床医疗中的应用。到2020年，智能服务机器人环境感知、自然交互、自主学习、人机协作等关键技术取得突破，智能家庭服务机器人、智能公共服务机器人实现批量生产及应用，医疗康复、助老助残、消防救灾等机器人实现样机生产，完成技术与功能验证，实现20家以上应用示范。</w:t>
      </w:r>
    </w:p>
    <w:p w14:paraId="310FBE32">
      <w:pPr>
        <w:pStyle w:val="2"/>
        <w:rPr>
          <w:rFonts w:hint="eastAsia"/>
        </w:rPr>
      </w:pPr>
      <w:r>
        <w:rPr>
          <w:rFonts w:hint="eastAsia"/>
        </w:rPr>
        <w:t>行业训练资源库，面向语音识别、视觉识别、自然语言处理等基础领域及工业、医疗、金融、交通等行业领域，支持建设高质量人工智能训练资源库、标准测试数据集并推动共享，鼓励建设提供知识图谱、算法训练、产品优化等共性服务的开放性云平台。到2020年，基础语音、视频图像、文本对话等公共训练数据量大幅提升，在工业、医疗、金融、交通等领域汇集一定规模的行业应用数据，用于支持创业创新。</w:t>
      </w:r>
    </w:p>
    <w:p w14:paraId="5B237899">
      <w:pPr>
        <w:pStyle w:val="4"/>
        <w:rPr>
          <w:rFonts w:hint="eastAsia"/>
        </w:rPr>
      </w:pPr>
      <w:bookmarkStart w:id="9" w:name="_Toc176791468"/>
      <w:r>
        <w:rPr>
          <w:rFonts w:hint="eastAsia"/>
        </w:rPr>
        <w:t>现有移动输液应用状况</w:t>
      </w:r>
      <w:bookmarkEnd w:id="9"/>
    </w:p>
    <w:p w14:paraId="0D13A357">
      <w:pPr>
        <w:rPr>
          <w:rFonts w:hint="eastAsia"/>
        </w:rPr>
      </w:pPr>
      <w:r>
        <w:rPr>
          <w:rFonts w:hint="eastAsia"/>
        </w:rPr>
        <w:t>国内输液行业经历了无序竞争、规范化快速发展、规范化稳定发展、行业初步整合、行业深度整合等几个发展阶段后，目前已迈入成熟的发展阶段。其中，2012年之后，随着相关政策对抗菌药物加强管理和新版GMP政策推行，行业逐步进入了整合阶段。发展至今，大输液领域已形成较高的行业集中度，大输液行业已迈入较为成熟的发展阶段。</w:t>
      </w:r>
    </w:p>
    <w:p w14:paraId="018AA65F">
      <w:pPr>
        <w:rPr>
          <w:rFonts w:ascii="Times New Roman" w:hAnsi="Times New Roman"/>
        </w:rPr>
      </w:pPr>
      <w:r>
        <w:rPr>
          <w:rFonts w:ascii="Times New Roman" w:hAnsi="Times New Roman"/>
        </w:rPr>
        <w:t>‌</w:t>
      </w:r>
      <w:r>
        <w:rPr>
          <w:rFonts w:hint="eastAsia"/>
        </w:rPr>
        <w:t>静脉输液的普及与问题</w:t>
      </w:r>
      <w:r>
        <w:rPr>
          <w:rFonts w:hint="eastAsia" w:ascii="Courier New" w:hAnsi="Courier New" w:cs="Courier New"/>
        </w:rPr>
        <w:t>，</w:t>
      </w:r>
      <w:r>
        <w:rPr>
          <w:rFonts w:hint="eastAsia" w:ascii="仿宋" w:hAnsi="仿宋" w:cs="仿宋"/>
        </w:rPr>
        <w:t>静脉输液作为临床最常用的技术操作之一，其普及率非常高。然而，这也带来了一些问题，如输液率高、输液不便、输液相关纠纷的发生等</w:t>
      </w:r>
      <w:r>
        <w:t>。</w:t>
      </w:r>
    </w:p>
    <w:p w14:paraId="2A762BF1">
      <w:pPr>
        <w:rPr>
          <w:rFonts w:ascii="Times New Roman" w:hAnsi="Times New Roman"/>
        </w:rPr>
      </w:pPr>
      <w:r>
        <w:t>输液安全与质量的提升需求</w:t>
      </w:r>
      <w:r>
        <w:rPr>
          <w:rFonts w:ascii="Times New Roman" w:hAnsi="Times New Roman"/>
        </w:rPr>
        <w:t>‌</w:t>
      </w:r>
      <w:r>
        <w:rPr>
          <w:rFonts w:hint="eastAsia"/>
        </w:rPr>
        <w:t>，</w:t>
      </w:r>
      <w:r>
        <w:t>随着对输液安全与质量的重视，国内外都在努力提高输液的安全性和效率，降低输液相关纠纷的发生，并认识和防范静脉输液实践中存在的风险</w:t>
      </w:r>
      <w:r>
        <w:rPr>
          <w:rFonts w:ascii="Times New Roman" w:hAnsi="Times New Roman"/>
        </w:rPr>
        <w:t>‌</w:t>
      </w:r>
      <w:r>
        <w:t>。</w:t>
      </w:r>
    </w:p>
    <w:p w14:paraId="3A99B528">
      <w:pPr>
        <w:rPr>
          <w:rFonts w:hint="eastAsia"/>
        </w:rPr>
      </w:pPr>
      <w:r>
        <w:t>移动输液中心的发展趋势</w:t>
      </w:r>
      <w:r>
        <w:rPr>
          <w:rFonts w:ascii="Times New Roman" w:hAnsi="Times New Roman"/>
        </w:rPr>
        <w:t>‌</w:t>
      </w:r>
      <w:r>
        <w:rPr>
          <w:rFonts w:hint="eastAsia"/>
        </w:rPr>
        <w:t>，</w:t>
      </w:r>
      <w:r>
        <w:t>随着技术的发展，移动输液中心作为一种新型的医疗服务模式，正在逐渐受到关注。这种服务模式能够提供更加便捷、高效的医疗服务，满足患者对于医疗服务的多样化需求</w:t>
      </w:r>
      <w:r>
        <w:rPr>
          <w:rFonts w:ascii="Times New Roman" w:hAnsi="Times New Roman"/>
        </w:rPr>
        <w:t>‌</w:t>
      </w:r>
      <w:r>
        <w:t>。</w:t>
      </w:r>
    </w:p>
    <w:p w14:paraId="5E994813">
      <w:pPr>
        <w:rPr>
          <w:rFonts w:ascii="Times New Roman" w:hAnsi="Times New Roman"/>
        </w:rPr>
      </w:pPr>
      <w:r>
        <w:rPr>
          <w:rFonts w:ascii="Times New Roman" w:hAnsi="Times New Roman"/>
        </w:rPr>
        <w:t>‌</w:t>
      </w:r>
      <w:r>
        <w:t>便携式可移动手臂绑带输液装置的研究与应用</w:t>
      </w:r>
      <w:r>
        <w:rPr>
          <w:rFonts w:ascii="Times New Roman" w:hAnsi="Times New Roman"/>
        </w:rPr>
        <w:t>‌</w:t>
      </w:r>
      <w:r>
        <w:rPr>
          <w:rFonts w:hint="eastAsia"/>
        </w:rPr>
        <w:t>，</w:t>
      </w:r>
      <w:r>
        <w:t>便携式可移动手臂绑带输液装置的研究涵盖了技术研究、材料选择和安全性评估、功能设计和优化、临床试验和评估，以及项目成果的应用与推广。这些装置的设计旨在提高患者的使用体验和治疗效率，同时确保安全性和耐用性</w:t>
      </w:r>
      <w:r>
        <w:rPr>
          <w:rFonts w:ascii="Times New Roman" w:hAnsi="Times New Roman"/>
        </w:rPr>
        <w:t>‌</w:t>
      </w:r>
      <w:r>
        <w:t>。</w:t>
      </w:r>
    </w:p>
    <w:p w14:paraId="03BC86E3">
      <w:pPr>
        <w:rPr>
          <w:rFonts w:hint="eastAsia"/>
        </w:rPr>
      </w:pPr>
      <w:r>
        <w:t>输液行业的软塑化变革</w:t>
      </w:r>
      <w:r>
        <w:rPr>
          <w:rFonts w:ascii="Times New Roman" w:hAnsi="Times New Roman"/>
        </w:rPr>
        <w:t>‌</w:t>
      </w:r>
      <w:r>
        <w:rPr>
          <w:rFonts w:hint="eastAsia"/>
        </w:rPr>
        <w:t>，</w:t>
      </w:r>
      <w:r>
        <w:t>输液产品的市场正经历着显著的软塑化变革，其中软塑包装的大输液产品增长迅速，而传统的玻璃瓶大输液则面临占有率下滑的局面。中国的软塑化率虽然仍处于较低水平，但这一趋势正在加速增长</w:t>
      </w:r>
      <w:r>
        <w:rPr>
          <w:rFonts w:ascii="Times New Roman" w:hAnsi="Times New Roman"/>
        </w:rPr>
        <w:t>‌</w:t>
      </w:r>
      <w:r>
        <w:t>。</w:t>
      </w:r>
    </w:p>
    <w:p w14:paraId="284B3592">
      <w:pPr>
        <w:pStyle w:val="4"/>
        <w:rPr>
          <w:rFonts w:hint="eastAsia"/>
        </w:rPr>
      </w:pPr>
      <w:bookmarkStart w:id="10" w:name="_Toc176791469"/>
      <w:r>
        <w:rPr>
          <w:rFonts w:hint="eastAsia"/>
        </w:rPr>
        <w:t>项目建设的意义和必要性</w:t>
      </w:r>
      <w:bookmarkEnd w:id="10"/>
    </w:p>
    <w:p w14:paraId="034D88D8">
      <w:pPr>
        <w:pStyle w:val="2"/>
        <w:rPr>
          <w:rFonts w:hint="eastAsia"/>
        </w:rPr>
      </w:pPr>
      <w:r>
        <w:rPr>
          <w:rFonts w:hint="eastAsia"/>
        </w:rPr>
        <w:t>开展智能医疗新技术和新模式应用，研究人工智能与中医“治未病”相结合的智能健康管理服务模式。推进人工智能技术及智能医疗设备在病例筛查、疾病预测、疾病检测、诊疗辅助、辅助用药、健康管理和中医辩证施治中的应用，建立精准的智慧医疗体系。研发可穿戴智能监护、智能医养辅助设备、智能健康监测系统，构建安全便捷的智慧康养体系，形成应用示范。</w:t>
      </w:r>
    </w:p>
    <w:p w14:paraId="619E64C2">
      <w:pPr>
        <w:pStyle w:val="2"/>
        <w:rPr>
          <w:rFonts w:hint="eastAsia"/>
        </w:rPr>
      </w:pPr>
      <w:r>
        <w:rPr>
          <w:rFonts w:hint="eastAsia"/>
        </w:rPr>
        <w:t>综合运用健康医疗大数据资源和信息新技术，建立医疗、药品、耗材等收支构成及变化趋势的监测机制，加强医药卫生体制改革评估监测。完善传染病、食源性疾病、慢性病、免疫规划、精神卫生、健康危害因素监测等信息系统功能，实现对健康、疾病相关因素的精准监控，开展基于电子病历、电子健康档案的公共卫生信息化应用探索</w:t>
      </w:r>
      <w:r>
        <w:t>。</w:t>
      </w:r>
    </w:p>
    <w:p w14:paraId="62722377">
      <w:pPr>
        <w:rPr>
          <w:rFonts w:hint="eastAsia"/>
        </w:rPr>
      </w:pPr>
      <w:r>
        <w:rPr>
          <w:rFonts w:hint="eastAsia"/>
        </w:rPr>
        <w:t>提升医疗机构信息化水平。推进以电子病历为核心的医疗机构信息化建设，促进信息互通、业务协同。推进智慧医院建设，并与医疗机构等级评审相衔接。在三级公立医院探索建立信息首席负责制，并在单位绩效工资总量内合理确定其绩效工资水平。</w:t>
      </w:r>
    </w:p>
    <w:p w14:paraId="47993C4E">
      <w:pPr>
        <w:pStyle w:val="2"/>
        <w:rPr>
          <w:rFonts w:hint="eastAsia"/>
        </w:rPr>
      </w:pPr>
      <w:r>
        <w:rPr>
          <w:rFonts w:hint="eastAsia"/>
        </w:rPr>
        <w:t>推动“5G+医疗健康”创新发展。开展5G智慧医疗系统建设，搭建5G智慧医疗示范网和医疗平台，加快5G在疫情预警、院前急救、远程诊疗、智能影像辅助诊断等方面的应用推广。进一步优化和推广5G在抗击新冠肺炎疫情中的优秀应用，推广远程体检、问诊、医疗辅助等服务，促进医疗资源共享。通知要求：</w:t>
      </w:r>
    </w:p>
    <w:p w14:paraId="10E8435D">
      <w:pPr>
        <w:pStyle w:val="2"/>
        <w:rPr>
          <w:rFonts w:hint="eastAsia"/>
        </w:rPr>
      </w:pPr>
      <w:r>
        <w:rPr>
          <w:rFonts w:hint="eastAsia"/>
        </w:rPr>
        <w:t>1）建设包括医院内部网络、远程医疗专网、应急 救治网络的5G智慧医疗示范网，5G 基站数量不少于30个，远程医疗专网覆盖“省-市-县-乡-村”五级医疗机构不少于20家，医疗急救车信息化改造不少于10辆。</w:t>
      </w:r>
    </w:p>
    <w:p w14:paraId="7C42988D">
      <w:pPr>
        <w:pStyle w:val="2"/>
        <w:rPr>
          <w:rFonts w:hint="eastAsia"/>
        </w:rPr>
      </w:pPr>
      <w:r>
        <w:rPr>
          <w:rFonts w:hint="eastAsia"/>
        </w:rPr>
        <w:t>2）建设智慧医疗平台系统，支撑诊断场景及手术类型不少于10种，服务医院和企业用户不少于 80 家。</w:t>
      </w:r>
    </w:p>
    <w:p w14:paraId="6DEF77AC">
      <w:pPr>
        <w:pStyle w:val="2"/>
        <w:rPr>
          <w:rFonts w:hint="eastAsia"/>
        </w:rPr>
      </w:pPr>
      <w:r>
        <w:rPr>
          <w:rFonts w:hint="eastAsia"/>
        </w:rPr>
        <w:t>3）具备车载移动多方会诊能力，并发会诊量不少于100组，支持智能医学影像辅助诊断功能。</w:t>
      </w:r>
    </w:p>
    <w:p w14:paraId="6A60AF18">
      <w:pPr>
        <w:pStyle w:val="2"/>
        <w:rPr>
          <w:rFonts w:hint="eastAsia"/>
        </w:rPr>
      </w:pPr>
      <w:r>
        <w:rPr>
          <w:rFonts w:hint="eastAsia"/>
        </w:rPr>
        <w:t>4）开展移动查房、移动护理、多学科协同会诊、远程病理诊断等不少于 8 项示范应用，开展远程虚拟现实（VR）急救、急救车现场急救、无人机远程急救等不少于3种急救应用。</w:t>
      </w:r>
    </w:p>
    <w:p w14:paraId="13074EE0">
      <w:pPr>
        <w:pStyle w:val="2"/>
        <w:rPr>
          <w:rFonts w:hint="eastAsia"/>
        </w:rPr>
      </w:pPr>
      <w:r>
        <w:rPr>
          <w:rFonts w:hint="eastAsia"/>
        </w:rPr>
        <w:t>5）支持相关行业标准的制修订，搭建 5G 智慧医疗评测验证环境，开展 5G智能医疗健康产品与系统的评测验证。</w:t>
      </w:r>
    </w:p>
    <w:p w14:paraId="06A5DE48">
      <w:pPr>
        <w:pStyle w:val="2"/>
        <w:rPr>
          <w:rFonts w:hint="eastAsia"/>
        </w:rPr>
      </w:pPr>
      <w:r>
        <w:rPr>
          <w:rFonts w:hint="eastAsia"/>
        </w:rPr>
        <w:t>6）满足行业信息共享制度规范要求。</w:t>
      </w:r>
    </w:p>
    <w:p w14:paraId="671F6755">
      <w:pPr>
        <w:pStyle w:val="3"/>
        <w:rPr>
          <w:rFonts w:hint="eastAsia"/>
        </w:rPr>
      </w:pPr>
      <w:bookmarkStart w:id="11" w:name="_Toc176791470"/>
      <w:r>
        <w:rPr>
          <w:rFonts w:hint="eastAsia"/>
        </w:rPr>
        <w:t>需求分析</w:t>
      </w:r>
      <w:bookmarkEnd w:id="11"/>
    </w:p>
    <w:p w14:paraId="10B20CE1">
      <w:pPr>
        <w:pStyle w:val="4"/>
        <w:rPr>
          <w:rFonts w:hint="eastAsia"/>
        </w:rPr>
      </w:pPr>
      <w:bookmarkStart w:id="12" w:name="_Toc176791471"/>
      <w:r>
        <w:rPr>
          <w:rFonts w:hint="eastAsia"/>
        </w:rPr>
        <w:t>安全保密与自主可控</w:t>
      </w:r>
      <w:bookmarkEnd w:id="12"/>
    </w:p>
    <w:p w14:paraId="5F7D957D">
      <w:pPr>
        <w:pStyle w:val="5"/>
        <w:tabs>
          <w:tab w:val="left" w:pos="0"/>
          <w:tab w:val="left" w:pos="720"/>
        </w:tabs>
        <w:ind w:left="0"/>
        <w:rPr>
          <w:rFonts w:hint="eastAsia"/>
        </w:rPr>
      </w:pPr>
      <w:r>
        <w:rPr>
          <w:rFonts w:hint="eastAsia"/>
        </w:rPr>
        <w:t>安全保密配套设施建设</w:t>
      </w:r>
    </w:p>
    <w:p w14:paraId="26D2A3E3">
      <w:pPr>
        <w:rPr>
          <w:rFonts w:hint="eastAsia"/>
        </w:rPr>
      </w:pPr>
      <w:r>
        <w:rPr>
          <w:rFonts w:hint="eastAsia"/>
        </w:rPr>
        <w:t>实现输液过程的科学化管理和安全监测，有效地补充和完善了现有医院信息管理系统(HIS)的功能，明晰医护、患责任，让病人“享受住院、安心医疗”，实现真正的“0陪护”，让“电子看护”取代传统陪护的繁杂劳动，让护士的被动服务变成真正的“主动服务”</w:t>
      </w:r>
    </w:p>
    <w:p w14:paraId="120BBDBF">
      <w:pPr>
        <w:rPr>
          <w:rFonts w:hint="eastAsia"/>
        </w:rPr>
      </w:pPr>
      <w:r>
        <w:rPr>
          <w:rFonts w:hint="eastAsia"/>
        </w:rPr>
        <w:t>利用移动设备实现静脉输液的闭环管理，通过移动设备构建安全输液系统，并将其应用于临床输液，实现输液流程的闭环管理，利用PDA扫描患者电子腕带芯片，输液袋上输液二维码记录整个输液全过程的护理活动，从而形成完整的闭环管理；移动输液系统极大地避免了临床输液的各种核对差错，利用信息化手段“强迫”双人核对和提醒各种关键时间节点，从而实现了从“开具输液医嘱 -液体配制-核对-输液-记录”整个输液操作流程的闭环管理；输液闭环管理与传统输液相比流程有了明显改进,确实解决了输液护理管理的临床实际需求。</w:t>
      </w:r>
    </w:p>
    <w:p w14:paraId="60DEC6FB">
      <w:pPr>
        <w:pStyle w:val="5"/>
        <w:tabs>
          <w:tab w:val="left" w:pos="0"/>
          <w:tab w:val="left" w:pos="720"/>
        </w:tabs>
        <w:ind w:left="0"/>
        <w:rPr>
          <w:rFonts w:hint="eastAsia"/>
        </w:rPr>
      </w:pPr>
      <w:r>
        <w:rPr>
          <w:rFonts w:hint="eastAsia"/>
        </w:rPr>
        <w:t>监管体系的融入</w:t>
      </w:r>
    </w:p>
    <w:p w14:paraId="2D5EA429">
      <w:pPr>
        <w:rPr>
          <w:rFonts w:hint="eastAsia"/>
        </w:rPr>
      </w:pPr>
      <w:r>
        <w:rPr>
          <w:rFonts w:hint="eastAsia"/>
        </w:rPr>
        <w:t>移动输液室作为医院重要的服务窗口,每天需要接待很多的病人和家属,人群流动性比较大,也比较集中,使得门诊输液工作成为医疗服务的关键环节。而传统的输液流程不能很好的解决医疗输液过程中存在的问题,这些问题主要表现在以下两个方面:首先医院的医护人员有限,每一个医护人员需要服务很多的病人,不可能实现一对一的服务,长时间高强度的工作会使得医护人员的工作效率降低。其次,医院中使用的药品种类繁多,每位医护人员除了需要记得病人的基本情况还需牢记药品的名称,使得正确的药品能够给正确的病人服用。通过人工的方式对病人和药品进行核对,容易出错,从而对病人的生命健康造成威胁。</w:t>
      </w:r>
    </w:p>
    <w:p w14:paraId="20D1BEF6">
      <w:pPr>
        <w:rPr>
          <w:rFonts w:hint="eastAsia"/>
        </w:rPr>
      </w:pPr>
      <w:r>
        <w:rPr>
          <w:rFonts w:hint="eastAsia"/>
        </w:rPr>
        <w:t>为解决上述问题,本次建设一套移动输液管理系统,针对在输液过程中人工核对工作量大,容易出错的问题进行流程的设计和改进。通过融合智能识别、物联网和无线网等技术,使得输液过程实现条码化、流程化和移动化。实验表明,该设计方案一方面有效地简化了对病人和药物的核对流程,另一方面使得护士在输液过程中能够快速响应病人,有效地提高了医护人员的工作效率,减少了由于人为原因导致的医疗事故,保障了病人在输液过程中的安全。移动门诊输液管理系统的设计与实现使得医院门诊输液室的医疗流程更加规范化,提高了用药的安全性,降低在医疗过程中出现差错的概率。</w:t>
      </w:r>
    </w:p>
    <w:p w14:paraId="77A60A4F">
      <w:pPr>
        <w:pStyle w:val="5"/>
        <w:tabs>
          <w:tab w:val="left" w:pos="0"/>
          <w:tab w:val="left" w:pos="720"/>
        </w:tabs>
        <w:ind w:left="0"/>
        <w:rPr>
          <w:rFonts w:hint="eastAsia"/>
        </w:rPr>
      </w:pPr>
      <w:r>
        <w:rPr>
          <w:rFonts w:hint="eastAsia"/>
        </w:rPr>
        <w:t>内控安全设计</w:t>
      </w:r>
    </w:p>
    <w:p w14:paraId="24EECC9F">
      <w:pPr>
        <w:rPr>
          <w:rFonts w:hint="eastAsia"/>
        </w:rPr>
      </w:pPr>
      <w:r>
        <w:rPr>
          <w:rFonts w:hint="eastAsia"/>
        </w:rPr>
        <w:t>目的为保证移动输液室患者用药安全,运用移动输液管理系统,将信息技术扩展和延伸到每-步输液环节,确保患者用药安全。</w:t>
      </w:r>
    </w:p>
    <w:p w14:paraId="321D846C">
      <w:pPr>
        <w:rPr>
          <w:rFonts w:hint="eastAsia"/>
        </w:rPr>
      </w:pPr>
      <w:r>
        <w:rPr>
          <w:rFonts w:hint="eastAsia"/>
        </w:rPr>
        <w:t>实施业务培训，确保系统运行，应用条码技术，保证患者安全，优化输液流程，提高工作效率，提高管理水平，关注细节管理，提高服务品质；移动输液系统将医、护、患和药四个环节有机地关联在一起，充分体现了身份核对条码化，患者服务人性化，医院管理信息化的特点，保障了患者用药安全，高了护士工作效率，真正实现了患者手动，信息移动医护联动的新格局；应用移动输液系统构建了患者用药安全防线。</w:t>
      </w:r>
    </w:p>
    <w:p w14:paraId="2066B96B">
      <w:pPr>
        <w:pStyle w:val="5"/>
        <w:tabs>
          <w:tab w:val="left" w:pos="0"/>
          <w:tab w:val="left" w:pos="720"/>
        </w:tabs>
        <w:ind w:left="0"/>
        <w:rPr>
          <w:rFonts w:hint="eastAsia"/>
        </w:rPr>
      </w:pPr>
      <w:r>
        <w:rPr>
          <w:rFonts w:hint="eastAsia"/>
        </w:rPr>
        <w:t>安全保密检测评估改</w:t>
      </w:r>
    </w:p>
    <w:p w14:paraId="0DCC852A">
      <w:pPr>
        <w:rPr>
          <w:rFonts w:hint="eastAsia"/>
        </w:rPr>
      </w:pPr>
      <w:r>
        <w:rPr>
          <w:rFonts w:hint="eastAsia"/>
        </w:rPr>
        <w:t>提高输液质量和安全性，当前医疗中普遍存在着人为误差、滴速不准等问题，采用智能输液监控系统可以避免这些问题的发生，提高输液质量和安全性。</w:t>
      </w:r>
    </w:p>
    <w:p w14:paraId="05E9ECDC">
      <w:pPr>
        <w:rPr>
          <w:rFonts w:hint="eastAsia"/>
        </w:rPr>
      </w:pPr>
      <w:r>
        <w:rPr>
          <w:rFonts w:hint="eastAsia"/>
        </w:rPr>
        <w:t>降低医疗事故风险，智能输液监控系统能够及时检测输液参数是否合理，一旦发现异常情况，及时报警提醒医护人员，从而可以有效降低医疗事故的发生风险。</w:t>
      </w:r>
    </w:p>
    <w:p w14:paraId="057B6F67">
      <w:pPr>
        <w:rPr>
          <w:rFonts w:hint="eastAsia"/>
        </w:rPr>
      </w:pPr>
      <w:r>
        <w:rPr>
          <w:rFonts w:hint="eastAsia"/>
        </w:rPr>
        <w:t>提高医护人员工作效率，采用智能输液监控系统可以减少人工操作，减轻医护人员的工作压力，提高工作效率。</w:t>
      </w:r>
    </w:p>
    <w:p w14:paraId="5927FC5E">
      <w:pPr>
        <w:rPr>
          <w:rFonts w:hint="eastAsia"/>
        </w:rPr>
      </w:pPr>
      <w:r>
        <w:rPr>
          <w:rFonts w:hint="eastAsia"/>
        </w:rPr>
        <w:t>丰富医疗设备市场，智能输液监控系统的出现为医疗设备市场注入了新的发展动力，提供了更多的选择，有利于推动医疗设备技术的发展和创新。</w:t>
      </w:r>
    </w:p>
    <w:p w14:paraId="6FBB8845">
      <w:pPr>
        <w:rPr>
          <w:rFonts w:hint="eastAsia"/>
        </w:rPr>
      </w:pPr>
      <w:r>
        <w:rPr>
          <w:rFonts w:hint="eastAsia"/>
        </w:rPr>
        <w:t>推动医疗设备自动化发展:智能输液监控系统的应用，为医疗设备自动化发展提供了新的思路和技术支持，为未来医疗设备智能化发展打下基础。</w:t>
      </w:r>
    </w:p>
    <w:p w14:paraId="4AF59997">
      <w:pPr>
        <w:pStyle w:val="5"/>
        <w:tabs>
          <w:tab w:val="left" w:pos="0"/>
          <w:tab w:val="left" w:pos="720"/>
        </w:tabs>
        <w:ind w:left="0"/>
        <w:rPr>
          <w:rFonts w:hint="eastAsia"/>
        </w:rPr>
      </w:pPr>
      <w:r>
        <w:rPr>
          <w:rFonts w:hint="eastAsia"/>
        </w:rPr>
        <w:t>国产自主可控要求的落实</w:t>
      </w:r>
    </w:p>
    <w:p w14:paraId="7DC89882">
      <w:pPr>
        <w:rPr>
          <w:rFonts w:hint="eastAsia"/>
        </w:rPr>
      </w:pPr>
      <w:r>
        <w:rPr>
          <w:rFonts w:hint="eastAsia"/>
        </w:rPr>
        <w:t>本项目注重医院内网环境的集成与安全性，以确保数据的绝对安全。考虑到医院作为数据敏感且关键的服务机构，数据的保护不仅是合规性的要求，更是对患者隐私和医院运营稳定性的高度负责。项目部署将严格遵守医院内网与外网的物理或逻辑隔离原则，确保数据传输仅在内部安全网络中进行，防止外部未经授权的访问和数据泄露。</w:t>
      </w:r>
    </w:p>
    <w:p w14:paraId="6449FDE7">
      <w:pPr>
        <w:rPr>
          <w:rFonts w:hint="eastAsia"/>
        </w:rPr>
      </w:pPr>
      <w:r>
        <w:rPr>
          <w:rFonts w:hint="eastAsia"/>
        </w:rPr>
        <w:t>采用先进的加密技术对传输中的数据和存储中的敏感信息进行加密处理，确保即使数据在传输过程中被截获或在存储介质上被盗取，也无法被轻易解密。并实施严格的访问控制策略，根据用户的身份和权限，限制其对数据的访问范围。采用多因素认证机制，增强账户安全性，防止未经授权的访问。</w:t>
      </w:r>
    </w:p>
    <w:p w14:paraId="05233B9A">
      <w:pPr>
        <w:pStyle w:val="5"/>
        <w:tabs>
          <w:tab w:val="left" w:pos="0"/>
          <w:tab w:val="left" w:pos="720"/>
        </w:tabs>
        <w:ind w:left="0"/>
        <w:rPr>
          <w:rFonts w:hint="eastAsia"/>
        </w:rPr>
      </w:pPr>
      <w:r>
        <w:rPr>
          <w:rFonts w:hint="eastAsia"/>
        </w:rPr>
        <w:t>进度管控和保密管理</w:t>
      </w:r>
    </w:p>
    <w:p w14:paraId="3C6FBC87">
      <w:pPr>
        <w:rPr>
          <w:rFonts w:hint="eastAsia"/>
        </w:rPr>
      </w:pPr>
      <w:r>
        <w:rPr>
          <w:rFonts w:hint="eastAsia"/>
        </w:rPr>
        <w:t>本项目在推进过程中，将采取一系列严谨而周密的措施，以严格控制项目进度并确保项目信息的保密性。</w:t>
      </w:r>
    </w:p>
    <w:p w14:paraId="0FF394A7">
      <w:pPr>
        <w:rPr>
          <w:rFonts w:hint="eastAsia"/>
        </w:rPr>
      </w:pPr>
      <w:r>
        <w:t>进度控制方面</w:t>
      </w:r>
      <w:r>
        <w:rPr>
          <w:rFonts w:hint="eastAsia"/>
        </w:rPr>
        <w:t>，制定详细的项目计划，项目初期，我们将根据项目的复杂性和预期目标，制定一份详尽的项目时间表，明确每个阶段的里程碑、关键任务、责任分配及预期完成时间。这份计划将成为项目管理的基石，确保所有参与人员对项目进度有清晰的认识；定期进度评估与调整，项目执行过程中，将实施定期的项目进度评估会议，对比实际进展与计划目标的差异，及时识别潜在的风险和延误因素。基于评估结果，我们将灵活调整项目计划，采取必要的补救措施，以确保项目能够按照既定的时间表顺利推进；采用先进的项目管理工具，利用项目管理软件（如PMI的Project Management Professional工具）来跟踪项目进度、分配资源、管理任务依赖关系，并实时生成项目进度报告。这些工具将大大提高项目管理的效率和准确性。</w:t>
      </w:r>
    </w:p>
    <w:p w14:paraId="731643AB">
      <w:pPr>
        <w:rPr>
          <w:rFonts w:hint="eastAsia"/>
        </w:rPr>
      </w:pPr>
      <w:r>
        <w:t>保密工作方面</w:t>
      </w:r>
      <w:r>
        <w:rPr>
          <w:rFonts w:hint="eastAsia"/>
        </w:rPr>
        <w:t>，建立严格的保密制度，项目启动之初，即制定详细的保密协议和规章制度，明确项目信息的保密范围、保密责任及违规处罚措施。所有项目参与人员均需签署保密协议，承诺对项目相关信息严格保密；实施物理与电子隔离措施，对于涉及敏感信息的区域和设备，采取物理隔离措施，限制非授权人员的访问。同时，加强网络安全防护，采用加密技术保护电子数据的传输和存储，防止信息泄露；强化人员培训与意识提升，定期对项目团队成员进行保密意识教育和培训，强调保密工作的重要性和必要性。通过案例分析、模拟演练等方式，提高团队成员的保密意识和应对突发事件的能力；建立信息泄露应急响应机制，制定信息泄露应急预案，明确信息泄露后的报告流程、处理措施及善后工作。一旦发生信息泄露事件，能够迅速启动应急响应机制，有效控制事态发展，减少损失。</w:t>
      </w:r>
    </w:p>
    <w:p w14:paraId="76D2A489">
      <w:pPr>
        <w:rPr>
          <w:rFonts w:hint="eastAsia"/>
        </w:rPr>
      </w:pPr>
      <w:r>
        <w:rPr>
          <w:rFonts w:hint="eastAsia"/>
        </w:rPr>
        <w:t>本项目将通过严格的进度控制和保密工作措施，确保项目按时、高质量地完成，并保护项目信息的安全性和机密性。</w:t>
      </w:r>
    </w:p>
    <w:p w14:paraId="38F54101">
      <w:pPr>
        <w:pStyle w:val="4"/>
        <w:rPr>
          <w:rFonts w:hint="eastAsia"/>
        </w:rPr>
      </w:pPr>
      <w:bookmarkStart w:id="13" w:name="_Toc176791472"/>
      <w:r>
        <w:rPr>
          <w:rFonts w:hint="eastAsia"/>
        </w:rPr>
        <w:t>系统需求分析</w:t>
      </w:r>
      <w:bookmarkEnd w:id="13"/>
      <w:r>
        <w:rPr>
          <w:rFonts w:hint="eastAsia"/>
        </w:rPr>
        <w:t xml:space="preserve"> </w:t>
      </w:r>
    </w:p>
    <w:p w14:paraId="00134997">
      <w:pPr>
        <w:pStyle w:val="5"/>
        <w:tabs>
          <w:tab w:val="left" w:pos="0"/>
          <w:tab w:val="left" w:pos="720"/>
        </w:tabs>
        <w:ind w:left="0"/>
        <w:rPr>
          <w:rFonts w:hint="eastAsia"/>
        </w:rPr>
      </w:pPr>
      <w:r>
        <w:rPr>
          <w:rFonts w:hint="eastAsia"/>
        </w:rPr>
        <w:t>环境适配</w:t>
      </w:r>
    </w:p>
    <w:p w14:paraId="1E028F41">
      <w:pPr>
        <w:pStyle w:val="2"/>
        <w:rPr>
          <w:rFonts w:hint="eastAsia"/>
        </w:rPr>
      </w:pPr>
      <w:r>
        <w:rPr>
          <w:rFonts w:hint="eastAsia"/>
        </w:rPr>
        <w:t>本项目方案中移动护理场景建设范围包括3个病区、输液监护场景建设范围包括三个病区、物联网组网方案建设范围为输液监护场景的三个病区。</w:t>
      </w:r>
    </w:p>
    <w:p w14:paraId="37D10F66">
      <w:pPr>
        <w:pStyle w:val="5"/>
        <w:tabs>
          <w:tab w:val="left" w:pos="0"/>
          <w:tab w:val="left" w:pos="720"/>
        </w:tabs>
        <w:ind w:left="0"/>
        <w:rPr>
          <w:rFonts w:hint="eastAsia"/>
        </w:rPr>
      </w:pPr>
      <w:r>
        <w:rPr>
          <w:rFonts w:hint="eastAsia"/>
        </w:rPr>
        <w:t>效能</w:t>
      </w:r>
    </w:p>
    <w:p w14:paraId="45C9BCE2">
      <w:pPr>
        <w:pStyle w:val="2"/>
        <w:rPr>
          <w:rFonts w:hint="eastAsia"/>
        </w:rPr>
      </w:pPr>
      <w:r>
        <w:rPr>
          <w:rFonts w:hint="eastAsia"/>
        </w:rPr>
        <w:t>移动护理系统对医院的效能，</w:t>
      </w:r>
      <w:r>
        <w:t>提高护理效率与质量</w:t>
      </w:r>
      <w:r>
        <w:rPr>
          <w:rFonts w:hint="eastAsia"/>
        </w:rPr>
        <w:t>，实时信息获取，通过移动设备或系统，医护人员可以实时获取患者的病历信息、医嘱信息、检验结果等临床信息，避免了来回奔波于病房和护士站之间，从而提高了工作效率；数据录入和查询，支持医护人员通过手持设备（如医疗PDA）快速录入和查询患者信息，如生命体征、护理记录等，减少了纸质记录的使用，提高了数据准确性和实时性；床边护理，护士可以在患者床边进行护理操作，如输液、换药等，使护理更及时、更便捷。</w:t>
      </w:r>
      <w:r>
        <w:t>预防医疗错误，确保患者安全</w:t>
      </w:r>
      <w:r>
        <w:rPr>
          <w:rFonts w:hint="eastAsia"/>
        </w:rPr>
        <w:t>，提醒和预警功能，移动护理系统可以设置提醒和预警功能，如用药提醒、输液完成提醒等，帮助医护人员更好地掌握患者的治疗进度和情况，确保患者的安全；身份识别与核对，通过扫描病人腕带、药品标签等二维条码，可以快速准确地完成病人身份、药品和标本等识别工作，避免了张冠李戴的现象。</w:t>
      </w:r>
      <w:r>
        <w:t>提供临床决策支持</w:t>
      </w:r>
      <w:r>
        <w:rPr>
          <w:rFonts w:hint="eastAsia"/>
        </w:rPr>
        <w:t>，医护人员可以通过移动护理系统获取患者的历史数据和临床指南等信息，为临床决策提供支持，提高医疗质量和安全性。</w:t>
      </w:r>
      <w:r>
        <w:t>优化护理工作流程</w:t>
      </w:r>
      <w:r>
        <w:rPr>
          <w:rFonts w:hint="eastAsia"/>
        </w:rPr>
        <w:t>，移动护理系统的使用使得护理工作流程更加科学、规范，减少了不必要的环节和错误，提高了整体工作效率；</w:t>
      </w:r>
      <w:r>
        <w:t>提升患者满意度</w:t>
      </w:r>
      <w:r>
        <w:rPr>
          <w:rFonts w:hint="eastAsia"/>
        </w:rPr>
        <w:t>，通过提高护理效率和质量，增加医护人员与患者的交流时间，使患者能够享受到更优质、更及时的护理服务，从而提升患者满意度。</w:t>
      </w:r>
    </w:p>
    <w:p w14:paraId="3842563C">
      <w:pPr>
        <w:pStyle w:val="2"/>
        <w:rPr>
          <w:rFonts w:hint="eastAsia"/>
        </w:rPr>
      </w:pPr>
      <w:r>
        <w:rPr>
          <w:rFonts w:hint="eastAsia"/>
        </w:rPr>
        <w:t>输液监护系统对医院的效能，</w:t>
      </w:r>
      <w:r>
        <w:t>实时监控输液过程</w:t>
      </w:r>
      <w:r>
        <w:rPr>
          <w:rFonts w:hint="eastAsia"/>
        </w:rPr>
        <w:t>，输液监护系统能够实时监控患者的输液过程，包括输液速度、输液量等关键指标，确保输液过程的安全和有效。</w:t>
      </w:r>
      <w:r>
        <w:t>预警与报警功能</w:t>
      </w:r>
      <w:r>
        <w:rPr>
          <w:rFonts w:hint="eastAsia"/>
        </w:rPr>
        <w:t>，系统能够设置预警和报警功能，如输液速度过快或过慢、输液量异常等情况时自动提醒医护人员，以便及时采取措施。</w:t>
      </w:r>
      <w:r>
        <w:t>提高输液管理的精确性</w:t>
      </w:r>
      <w:r>
        <w:rPr>
          <w:rFonts w:hint="eastAsia"/>
        </w:rPr>
        <w:t>，通过数字化、自动化的管理手段，输液监护系统能够减少人为因素导致的错误和遗漏，提高输液管理的精确性。</w:t>
      </w:r>
      <w:r>
        <w:t>优化医疗资源配置</w:t>
      </w:r>
      <w:r>
        <w:rPr>
          <w:rFonts w:hint="eastAsia"/>
        </w:rPr>
        <w:t>，系统能够记录和分析输液过程的数据，为医院管理者提供决策支持，优化医疗资源的配置和使用。</w:t>
      </w:r>
    </w:p>
    <w:p w14:paraId="67566080">
      <w:pPr>
        <w:pStyle w:val="2"/>
        <w:rPr>
          <w:rFonts w:hint="eastAsia"/>
        </w:rPr>
      </w:pPr>
      <w:r>
        <w:rPr>
          <w:rFonts w:hint="eastAsia"/>
        </w:rPr>
        <w:t>综上所述，移动护理与输液监护系统通过提高护理效率、预防医疗错误、提供临床决策支持、优化护理工作流程以及提升患者满意度等多个方面对医院的效能产生了积极的影响。这些系统的应用不仅提高了医院的医疗服务质量，还促进了医院管理的现代化和智能化。</w:t>
      </w:r>
    </w:p>
    <w:p w14:paraId="0FA7A4B1">
      <w:pPr>
        <w:pStyle w:val="5"/>
        <w:tabs>
          <w:tab w:val="left" w:pos="0"/>
          <w:tab w:val="left" w:pos="720"/>
        </w:tabs>
        <w:ind w:left="0"/>
        <w:rPr>
          <w:rFonts w:hint="eastAsia"/>
        </w:rPr>
      </w:pPr>
      <w:r>
        <w:rPr>
          <w:rFonts w:hint="eastAsia"/>
        </w:rPr>
        <w:t>完善体系</w:t>
      </w:r>
    </w:p>
    <w:p w14:paraId="7E8A44E7">
      <w:pPr>
        <w:rPr>
          <w:rFonts w:hint="eastAsia"/>
        </w:rPr>
      </w:pPr>
      <w:r>
        <w:rPr>
          <w:rFonts w:hint="eastAsia"/>
        </w:rPr>
        <w:t>移动护理系统作为现代医疗信息化的重要组成部分，极大地提升了护理工作的效率与质量，为护士们提供了一套便捷、高效、精准的工作平台。这一系统通过集成先进的移动设备与医院的信息管理系统，实现了护理工作的数字化、移动化和智能化，特别是在床旁实时的“三查七对”、医嘱执行以及生命体征采集等方面展现出了显著优势。</w:t>
      </w:r>
    </w:p>
    <w:p w14:paraId="5AC78E90">
      <w:pPr>
        <w:rPr>
          <w:rFonts w:hint="eastAsia"/>
        </w:rPr>
      </w:pPr>
      <w:r>
        <w:rPr>
          <w:rFonts w:hint="eastAsia"/>
        </w:rPr>
        <w:t>通过智能输液方案，医护人员可以更加方便地查看全病区的输液情况，实现医嘱下达、配液到执行的全流程闭环输液管理，优化工作流程，完善智能化输液体系，提高工作效率。</w:t>
      </w:r>
    </w:p>
    <w:p w14:paraId="0370790F">
      <w:pPr>
        <w:pStyle w:val="5"/>
        <w:tabs>
          <w:tab w:val="left" w:pos="0"/>
          <w:tab w:val="left" w:pos="720"/>
        </w:tabs>
        <w:ind w:left="0"/>
        <w:rPr>
          <w:rFonts w:hint="eastAsia"/>
        </w:rPr>
      </w:pPr>
      <w:r>
        <w:rPr>
          <w:rFonts w:hint="eastAsia"/>
        </w:rPr>
        <w:t>提升能力</w:t>
      </w:r>
    </w:p>
    <w:p w14:paraId="3901C86A">
      <w:pPr>
        <w:rPr>
          <w:rFonts w:hint="eastAsia"/>
        </w:rPr>
      </w:pPr>
      <w:r>
        <w:rPr>
          <w:rFonts w:hint="eastAsia"/>
        </w:rPr>
        <w:t>提高护理质量，移动护理系统使护理人员能够实时获取患者信息，实现个性化、精细化的护理服务。系统支持护理数据的实时统计和分析，为护理人员提供决策支持，从而提高了护理的针对性和有效性。提升工作效率，通过移动护理系统，护理人员可以快速完成各项护理任务，减少纸质记录的繁琐和错误，节省了大量时间和人力成本。同时，系统的自动化和智能化管理功能也减轻了护理人员的工作负担。增强医患沟通，移动护理系统支持患者信息的即时更新和共享，使患者和家属能够及时了解病情和护理进展，增强了医患之间的沟通和信任。优化资源配置，系统能够实时监控医院各科室的护理资源使用情况，为医院管理层提供决策依据，帮助优化资源配置，提高资源利用效率。</w:t>
      </w:r>
    </w:p>
    <w:p w14:paraId="0D6CDF8E">
      <w:pPr>
        <w:rPr>
          <w:rFonts w:hint="eastAsia"/>
        </w:rPr>
      </w:pPr>
      <w:r>
        <w:rPr>
          <w:rFonts w:hint="eastAsia"/>
        </w:rPr>
        <w:t>提高输液安全性和精确性，智能输液系统能够实时监测药液的流速、输液量等关键参数，确保输液过程的准确性和稳定性。提升医疗效率，智能输液系统实现了输液过程的自动化和数字化管理，减轻了医护人员的工作负担。医护人员可以通过系统远程监控患者的输液状态，及时发现问题并采取相应的措施，提高了工作效率和护理质量。降低医疗风险，系统具有实时监测和异常预警功能，能够及时发现并处理输液过程中的异常情况，大大降低了因疏忽导致的医疗风险。此外，系统的数据管理和分析功能也为医护人员提供了重要的数据支持，有助于优化输液过程和管理。</w:t>
      </w:r>
    </w:p>
    <w:p w14:paraId="04AB15B7">
      <w:pPr>
        <w:rPr>
          <w:rFonts w:hint="eastAsia"/>
        </w:rPr>
      </w:pPr>
      <w:r>
        <w:rPr>
          <w:rFonts w:hint="eastAsia"/>
        </w:rPr>
        <w:t>提升患者体验：智能输液系统的人性化设计以及自动调节输液参数的功能，都进一步提升了患者的输液体验。。</w:t>
      </w:r>
    </w:p>
    <w:p w14:paraId="7051BCF3">
      <w:pPr>
        <w:pStyle w:val="5"/>
        <w:tabs>
          <w:tab w:val="left" w:pos="0"/>
          <w:tab w:val="left" w:pos="720"/>
        </w:tabs>
        <w:ind w:left="0"/>
        <w:rPr>
          <w:rFonts w:hint="eastAsia"/>
        </w:rPr>
      </w:pPr>
      <w:r>
        <w:rPr>
          <w:rFonts w:hint="eastAsia"/>
        </w:rPr>
        <w:t>引领发展与成果共享</w:t>
      </w:r>
    </w:p>
    <w:p w14:paraId="653CAB99">
      <w:pPr>
        <w:pStyle w:val="2"/>
        <w:rPr>
          <w:rFonts w:hint="eastAsia"/>
        </w:rPr>
      </w:pPr>
      <w:r>
        <w:rPr>
          <w:rFonts w:hint="eastAsia"/>
        </w:rPr>
        <w:t>移动护理系统与智慧输液系统作为医院信息化建设中的关键支柱，正日益成为提升医疗服务质量与效率不可或缺的工具。这两大系统的引入，不仅标志着医院向数字化、智能化转型的坚定步伐，更是对医疗流程优化、患者体验改善以及医疗质量提升的深刻实践。</w:t>
      </w:r>
    </w:p>
    <w:p w14:paraId="1BE03D07">
      <w:pPr>
        <w:rPr>
          <w:rFonts w:hint="eastAsia"/>
        </w:rPr>
      </w:pPr>
      <w:r>
        <w:rPr>
          <w:rFonts w:hint="eastAsia"/>
        </w:rPr>
        <w:t>在建设方案中的输液监护及移动护理领域展现出的积极合作态度，厂家在以下软件、模型、数据、基础设施、标准规范等方面积极支持与院方共享共用相关建设成果。</w:t>
      </w:r>
    </w:p>
    <w:p w14:paraId="53E91F77">
      <w:pPr>
        <w:pStyle w:val="5"/>
        <w:tabs>
          <w:tab w:val="left" w:pos="0"/>
          <w:tab w:val="left" w:pos="720"/>
        </w:tabs>
        <w:ind w:left="0"/>
        <w:rPr>
          <w:rFonts w:hint="eastAsia"/>
        </w:rPr>
      </w:pPr>
      <w:r>
        <w:rPr>
          <w:rFonts w:hint="eastAsia"/>
        </w:rPr>
        <w:t>转化应用</w:t>
      </w:r>
    </w:p>
    <w:p w14:paraId="727CE04B">
      <w:pPr>
        <w:pStyle w:val="2"/>
        <w:rPr>
          <w:rFonts w:hint="eastAsia"/>
        </w:rPr>
      </w:pPr>
      <w:r>
        <w:rPr>
          <w:rFonts w:hint="eastAsia"/>
        </w:rPr>
        <w:t>在科研转化运用方面，相关厂家支持进行输液监护系统的优化，输液监护器的可用性分析、输液监护与生命体征多参数监测系统的集成、移动护理系统的设计与优化、移动护理在特病领域的应用、移动护理的技术创新与挑战等相关课题研究。</w:t>
      </w:r>
    </w:p>
    <w:p w14:paraId="5525EE08">
      <w:pPr>
        <w:pStyle w:val="5"/>
        <w:tabs>
          <w:tab w:val="left" w:pos="0"/>
          <w:tab w:val="left" w:pos="720"/>
        </w:tabs>
        <w:ind w:left="0"/>
        <w:rPr>
          <w:rFonts w:hint="eastAsia"/>
        </w:rPr>
      </w:pPr>
      <w:r>
        <w:rPr>
          <w:rFonts w:hint="eastAsia"/>
        </w:rPr>
        <w:t>成本控制与管理</w:t>
      </w:r>
    </w:p>
    <w:p w14:paraId="00ED4741">
      <w:pPr>
        <w:rPr>
          <w:rFonts w:hint="eastAsia"/>
        </w:rPr>
      </w:pPr>
      <w:r>
        <w:rPr>
          <w:rFonts w:hint="eastAsia"/>
        </w:rPr>
        <w:t>本项目不仅聚焦于当前指定的科室需求，更展现出高度的可扩展性和灵活性，明确支持推广至医院内其他任何有护理与输液需求的科室。在推广至其他科室的过程中，本项目充分利用了软件层面的模块化与可配置性优势。</w:t>
      </w:r>
    </w:p>
    <w:p w14:paraId="61EA8A50">
      <w:pPr>
        <w:rPr>
          <w:rFonts w:hint="eastAsia"/>
        </w:rPr>
      </w:pPr>
      <w:r>
        <w:rPr>
          <w:rFonts w:hint="eastAsia"/>
        </w:rPr>
        <w:t>软件层面的推广复用不仅降低了医院在信息化建设上的总体投入成本，还加速了医院内部信息共享与流程优化的进程。通过统一的护理与输液管理平台，各科室之间的数据壁垒被打破，信息流通更加顺畅，为医院提供了更加全面、准确的决策支持。同时，系统的统一管理与维护也降低了后期运营成本，提高了整体运维效率。</w:t>
      </w:r>
    </w:p>
    <w:p w14:paraId="3060755E">
      <w:pPr>
        <w:pStyle w:val="5"/>
        <w:tabs>
          <w:tab w:val="left" w:pos="0"/>
          <w:tab w:val="left" w:pos="720"/>
        </w:tabs>
        <w:ind w:left="0"/>
        <w:rPr>
          <w:rFonts w:hint="eastAsia"/>
        </w:rPr>
      </w:pPr>
      <w:r>
        <w:rPr>
          <w:rFonts w:hint="eastAsia"/>
        </w:rPr>
        <w:t>建设内容优化调整</w:t>
      </w:r>
    </w:p>
    <w:p w14:paraId="2C500BFA">
      <w:pPr>
        <w:pStyle w:val="2"/>
        <w:rPr>
          <w:rFonts w:hint="eastAsia"/>
        </w:rPr>
      </w:pPr>
      <w:r>
        <w:rPr>
          <w:rFonts w:hint="eastAsia"/>
        </w:rPr>
        <w:t>为保障移动护理系统与输液监护系统的运行与高效应用，本次建设包括物联网组网建设的核心内容，以充分满足输液监护系统对于物联网技术的特定使用需求。同时建设病区无线网络建设，这一组网建设将专注于构建一个稳定、可靠且扩展性强的网络环境，为两个系统提供坚实的技术支撑。</w:t>
      </w:r>
    </w:p>
    <w:p w14:paraId="715D5706">
      <w:pPr>
        <w:pStyle w:val="3"/>
        <w:rPr>
          <w:rFonts w:hint="eastAsia"/>
        </w:rPr>
      </w:pPr>
      <w:bookmarkStart w:id="14" w:name="_Toc176791473"/>
      <w:r>
        <w:rPr>
          <w:rFonts w:hint="eastAsia"/>
        </w:rPr>
        <w:t>建设方案</w:t>
      </w:r>
      <w:bookmarkEnd w:id="14"/>
    </w:p>
    <w:p w14:paraId="6AA90BF5">
      <w:pPr>
        <w:pStyle w:val="4"/>
        <w:rPr>
          <w:rFonts w:hint="eastAsia"/>
        </w:rPr>
      </w:pPr>
      <w:bookmarkStart w:id="15" w:name="_Toc176791474"/>
      <w:r>
        <w:rPr>
          <w:rFonts w:hint="eastAsia"/>
        </w:rPr>
        <w:t>建设原则和策略</w:t>
      </w:r>
      <w:bookmarkEnd w:id="15"/>
    </w:p>
    <w:p w14:paraId="4B16DDBB">
      <w:pPr>
        <w:rPr>
          <w:rFonts w:hint="eastAsia"/>
        </w:rPr>
      </w:pPr>
      <w:r>
        <w:rPr>
          <w:rFonts w:hint="eastAsia"/>
        </w:rPr>
        <w:t>建设符合智慧医院建设规划；前期已针对建设规划内容、总体架构布局、建设方案等方面通过医院前置审核。</w:t>
      </w:r>
    </w:p>
    <w:p w14:paraId="71FA0B6B">
      <w:pPr>
        <w:pStyle w:val="2"/>
        <w:rPr>
          <w:rFonts w:hint="eastAsia"/>
        </w:rPr>
      </w:pPr>
      <w:r>
        <w:rPr>
          <w:rFonts w:hint="eastAsia"/>
        </w:rPr>
        <w:t>建设将基于院内实际业务需求，严格遵照相关政策要求及《中华人民共和国网络安全法》、《中共中央国务院关于深化医疗保障制度改革的意见》、《电子病历系统应用水平评估》、《关于加强二级公立医院绩效考核工作的通知》、《医院信息系统基本功能规范》制定功能列表、《四川省智慧医院评价标准（2023版）新兴技术应用的物联网应用》。系统方案经多个同类项目调研，有成熟落地案例可参考，技术可行。</w:t>
      </w:r>
    </w:p>
    <w:p w14:paraId="70F3FA84">
      <w:pPr>
        <w:rPr>
          <w:rFonts w:hint="eastAsia"/>
        </w:rPr>
      </w:pPr>
      <w:r>
        <w:rPr>
          <w:rFonts w:hint="eastAsia"/>
        </w:rPr>
        <w:t>建设将基于院内实际业务需求，严格遵照相关政策要求及《中华人民共和国网络安全法》、《中共中央国务院关于深化医疗保障制度改革的意见》、《电子病历系统应用水平评估》、《关于加强二级公立医院绩效考核工作的通知》、《医院信息系统基本功能规范》制定功能列表、《四川省智慧医院评价标准（2023版）新兴技术应用的物联网应用》。系统方案经多个同类项目调研，有成熟落地案例可参考，技术可行。</w:t>
      </w:r>
    </w:p>
    <w:p w14:paraId="59291BF2">
      <w:pPr>
        <w:pStyle w:val="4"/>
        <w:rPr>
          <w:rFonts w:hint="eastAsia"/>
        </w:rPr>
      </w:pPr>
      <w:bookmarkStart w:id="16" w:name="_Toc176791475"/>
      <w:r>
        <w:rPr>
          <w:rFonts w:hint="eastAsia"/>
        </w:rPr>
        <w:t>项目建设目标</w:t>
      </w:r>
      <w:bookmarkEnd w:id="16"/>
    </w:p>
    <w:p w14:paraId="1C8DF539">
      <w:pPr>
        <w:rPr>
          <w:rFonts w:hint="eastAsia" w:ascii="仿宋" w:hAnsi="仿宋"/>
          <w:szCs w:val="22"/>
        </w:rPr>
      </w:pPr>
      <w:r>
        <w:rPr>
          <w:rFonts w:hint="eastAsia" w:ascii="仿宋" w:hAnsi="仿宋"/>
          <w:szCs w:val="22"/>
        </w:rPr>
        <w:t>一、强化医疗服务质量与安全</w:t>
      </w:r>
    </w:p>
    <w:p w14:paraId="4C5D1869">
      <w:pPr>
        <w:rPr>
          <w:rFonts w:hint="eastAsia" w:ascii="仿宋" w:hAnsi="仿宋"/>
          <w:szCs w:val="22"/>
        </w:rPr>
      </w:pPr>
      <w:r>
        <w:rPr>
          <w:rFonts w:hint="eastAsia" w:ascii="仿宋" w:hAnsi="仿宋"/>
          <w:szCs w:val="22"/>
        </w:rPr>
        <w:t>精准患者身份识别：引入RFID与条码识别技术，构建高效的患者身份识别与核对体系，确保每位患者在接受医疗服务时，其身份都能被准确无误地验证，从根本上降低医疗差错风险，显著提升医疗服务的安全性与质量。</w:t>
      </w:r>
    </w:p>
    <w:p w14:paraId="0C88F5CF">
      <w:pPr>
        <w:rPr>
          <w:rFonts w:hint="eastAsia" w:ascii="仿宋" w:hAnsi="仿宋"/>
          <w:szCs w:val="22"/>
        </w:rPr>
      </w:pPr>
      <w:r>
        <w:rPr>
          <w:rFonts w:hint="eastAsia" w:ascii="仿宋" w:hAnsi="仿宋"/>
          <w:szCs w:val="22"/>
        </w:rPr>
        <w:t>实时病情监控与预警：部署先进的输液监护系统，实现对患者输液状态的全方位、实时监测，包括输液速度、剩余量等关键指标。系统一旦发现异常，立即触发警报机制，确保医护人员能迅速响应，保障患者生命安全。</w:t>
      </w:r>
    </w:p>
    <w:p w14:paraId="32A52412">
      <w:pPr>
        <w:rPr>
          <w:rFonts w:hint="eastAsia" w:ascii="仿宋" w:hAnsi="仿宋"/>
          <w:szCs w:val="22"/>
        </w:rPr>
      </w:pPr>
      <w:r>
        <w:rPr>
          <w:rFonts w:hint="eastAsia" w:ascii="仿宋" w:hAnsi="仿宋"/>
          <w:szCs w:val="22"/>
        </w:rPr>
        <w:t>二、筑牢患者安全防线</w:t>
      </w:r>
    </w:p>
    <w:p w14:paraId="0F171A1C">
      <w:pPr>
        <w:rPr>
          <w:rFonts w:hint="eastAsia" w:ascii="仿宋" w:hAnsi="仿宋"/>
          <w:szCs w:val="22"/>
        </w:rPr>
      </w:pPr>
      <w:r>
        <w:rPr>
          <w:rFonts w:hint="eastAsia" w:ascii="仿宋" w:hAnsi="仿宋"/>
          <w:szCs w:val="22"/>
        </w:rPr>
        <w:t>降低医疗差错率：依托移动护理系统，全面推行电子病历与电子医嘱，消除手写病历带来的易错性，同时利用系统内置的自动核对功能，进一步减少人为因素导致的医疗差错，为患者安全保驾护航。</w:t>
      </w:r>
    </w:p>
    <w:p w14:paraId="2267267C">
      <w:pPr>
        <w:rPr>
          <w:rFonts w:hint="eastAsia" w:ascii="仿宋" w:hAnsi="仿宋"/>
          <w:szCs w:val="22"/>
        </w:rPr>
      </w:pPr>
      <w:r>
        <w:rPr>
          <w:rFonts w:hint="eastAsia" w:ascii="仿宋" w:hAnsi="仿宋"/>
          <w:szCs w:val="22"/>
        </w:rPr>
        <w:t>提升用药安全水平：通过移动护理系统的智能扫描功能，对药品发放、输液等关键环节实施严格把控，确保每位患者都能获得正确、安全的药物治疗，有效预防用药错误事件的发生。</w:t>
      </w:r>
    </w:p>
    <w:p w14:paraId="473F3BF3">
      <w:pPr>
        <w:rPr>
          <w:rFonts w:hint="eastAsia" w:ascii="仿宋" w:hAnsi="仿宋"/>
          <w:szCs w:val="22"/>
        </w:rPr>
      </w:pPr>
      <w:r>
        <w:rPr>
          <w:rFonts w:hint="eastAsia" w:ascii="仿宋" w:hAnsi="仿宋"/>
          <w:szCs w:val="22"/>
        </w:rPr>
        <w:t>三、优化护理工作流程与效率</w:t>
      </w:r>
    </w:p>
    <w:p w14:paraId="0ADF1DE6">
      <w:pPr>
        <w:rPr>
          <w:rFonts w:hint="eastAsia" w:ascii="仿宋" w:hAnsi="仿宋"/>
          <w:szCs w:val="22"/>
        </w:rPr>
      </w:pPr>
      <w:r>
        <w:rPr>
          <w:rFonts w:hint="eastAsia" w:ascii="仿宋" w:hAnsi="仿宋"/>
          <w:szCs w:val="22"/>
        </w:rPr>
        <w:t>简化工作流程，减少奔波：移动护理系统的应用，使护士能够直接在病房内完成患者信息的采集、医嘱的执行等任务，大幅减少了往返于病房与护士站之间的时间，降低了工作强度，提升了工作效率。</w:t>
      </w:r>
    </w:p>
    <w:p w14:paraId="0972B925">
      <w:pPr>
        <w:rPr>
          <w:rFonts w:hint="eastAsia" w:ascii="仿宋" w:hAnsi="仿宋"/>
          <w:szCs w:val="22"/>
        </w:rPr>
      </w:pPr>
      <w:r>
        <w:rPr>
          <w:rFonts w:hint="eastAsia" w:ascii="仿宋" w:hAnsi="仿宋"/>
          <w:szCs w:val="22"/>
        </w:rPr>
        <w:t>即时数据录入，提升效率：医护人员能够直接在患者床边录入生命体征等关键数据，省去了传统纸质记录的繁琐过程，不仅加快了数据录入速度，还确保了数据的准确性和时效性。</w:t>
      </w:r>
    </w:p>
    <w:p w14:paraId="430A4287">
      <w:pPr>
        <w:rPr>
          <w:rFonts w:hint="eastAsia" w:ascii="仿宋" w:hAnsi="仿宋"/>
          <w:szCs w:val="22"/>
        </w:rPr>
      </w:pPr>
      <w:r>
        <w:rPr>
          <w:rFonts w:hint="eastAsia" w:ascii="仿宋" w:hAnsi="仿宋"/>
          <w:szCs w:val="22"/>
        </w:rPr>
        <w:t>四、推动护理管理智能化与高效化</w:t>
      </w:r>
    </w:p>
    <w:p w14:paraId="2FCFBB4A">
      <w:pPr>
        <w:rPr>
          <w:rFonts w:hint="eastAsia" w:ascii="仿宋" w:hAnsi="仿宋"/>
          <w:szCs w:val="22"/>
        </w:rPr>
      </w:pPr>
      <w:r>
        <w:rPr>
          <w:rFonts w:hint="eastAsia" w:ascii="仿宋" w:hAnsi="仿宋"/>
          <w:szCs w:val="22"/>
        </w:rPr>
        <w:t>全面无纸化办公：借助电子病历、电子办公等现代化手段，推动护理乃至医院整体业务向无纸化转型，不仅提高了工作效率，还显著节约了纸张等自然资源，符合绿色医院的发展理念。</w:t>
      </w:r>
    </w:p>
    <w:p w14:paraId="09928C53">
      <w:pPr>
        <w:rPr>
          <w:rFonts w:hint="eastAsia" w:ascii="仿宋" w:hAnsi="仿宋"/>
          <w:szCs w:val="22"/>
        </w:rPr>
      </w:pPr>
      <w:r>
        <w:rPr>
          <w:rFonts w:hint="eastAsia" w:ascii="仿宋" w:hAnsi="仿宋"/>
          <w:szCs w:val="22"/>
        </w:rPr>
        <w:t>智能化决策支持：移动护理系统具备强大的数据分析能力，能够自动汇总、分析护理数据，为护理管理者提供全面、准确的决策依据，助力护理管理工作更加科学化、精细化，推动护理质量的持续提升。</w:t>
      </w:r>
    </w:p>
    <w:p w14:paraId="235B9746">
      <w:pPr>
        <w:pStyle w:val="4"/>
        <w:rPr>
          <w:rFonts w:hint="eastAsia"/>
        </w:rPr>
      </w:pPr>
      <w:bookmarkStart w:id="17" w:name="_Toc176791476"/>
      <w:r>
        <w:rPr>
          <w:rFonts w:hint="eastAsia"/>
        </w:rPr>
        <w:t>国内外医院移动输液系统技术对比</w:t>
      </w:r>
      <w:bookmarkEnd w:id="17"/>
    </w:p>
    <w:p w14:paraId="568B6267">
      <w:pPr>
        <w:pStyle w:val="2"/>
        <w:rPr>
          <w:rFonts w:hint="eastAsia"/>
        </w:rPr>
      </w:pPr>
      <w:r>
        <w:rPr>
          <w:rFonts w:hint="eastAsia"/>
        </w:rPr>
        <w:t>国内外医院移动输液系统技术均得到了广泛应用和发展，但在具体应用和技术实现上存在一些差异。</w:t>
      </w:r>
    </w:p>
    <w:p w14:paraId="59B3E4AA">
      <w:pPr>
        <w:pStyle w:val="2"/>
        <w:rPr>
          <w:rFonts w:hint="eastAsia"/>
        </w:rPr>
      </w:pPr>
      <w:r>
        <w:rPr>
          <w:rFonts w:hint="eastAsia"/>
        </w:rPr>
        <w:t>首先，国内外医院移动输液系统的共同点在于它们都采用了物联网技术，如条形码技术、无线呼叫技术、移动计算机技术等，以提高护士的工作效率，减少医疗差错，并改善患者体验。这些系统通过无线信号传输数据，实现病人信息和药物信息的快速核对，以及病人求助的及时响应。此外，系统还能自动生成护士考核报表，全面提升医院管理水平</w:t>
      </w:r>
      <w:r>
        <w:t>。</w:t>
      </w:r>
    </w:p>
    <w:p w14:paraId="4171BFEB">
      <w:pPr>
        <w:pStyle w:val="2"/>
        <w:rPr>
          <w:rFonts w:hint="eastAsia"/>
        </w:rPr>
      </w:pPr>
      <w:r>
        <w:rPr>
          <w:rFonts w:hint="eastAsia"/>
        </w:rPr>
        <w:t>在国内，移动输液系统的应用已经相当成熟。例如，广州中医药大学第一附属医院采用了移动互联网技术和条码技术，建立了移动门诊输液创新服务模式，帮助护士避免人工判断导致的易出错环节，规范输液流程，杜绝安全隐患，从而提高服务质量和医疗安全</w:t>
      </w:r>
      <w:r>
        <w:rPr>
          <w:rFonts w:ascii="Courier New" w:hAnsi="Courier New" w:cs="Courier New"/>
        </w:rPr>
        <w:t>‌</w:t>
      </w:r>
      <w:r>
        <w:t>2。此外，国内的一些三甲教学医院，如北医三院、中日友好医院等，都已经实现了移动医疗，包括移动查房和移动输液系统，这些系统的硬件设备包括平板和PDA，软件系统与医院的HIS系统进行数据对接和交互，实现病人信息和药物信息的快速核对。</w:t>
      </w:r>
    </w:p>
    <w:p w14:paraId="0E9ABA18">
      <w:pPr>
        <w:pStyle w:val="2"/>
        <w:rPr>
          <w:rFonts w:hint="eastAsia"/>
        </w:rPr>
      </w:pPr>
      <w:r>
        <w:rPr>
          <w:rFonts w:hint="eastAsia"/>
        </w:rPr>
        <w:t>在国际上，虽然具体的技术细节和品牌设备可能有所不同，但移动输液系统的核心功能和目标与国内相似，即提高工作效率、减少医疗差错、改善患者体验。例如，南通市第二人民医院建设的急诊移动输液系统包括</w:t>
      </w:r>
      <w:r>
        <w:t>PC端和移动端两部分，移动端能够适配主流PDA设备，实现配药、穿刺、巡回、皮试及相关异常处理等功能。</w:t>
      </w:r>
    </w:p>
    <w:p w14:paraId="75A563B1">
      <w:pPr>
        <w:pStyle w:val="2"/>
        <w:rPr>
          <w:rFonts w:hint="eastAsia"/>
        </w:rPr>
      </w:pPr>
      <w:r>
        <w:rPr>
          <w:rFonts w:hint="eastAsia"/>
        </w:rPr>
        <w:t>综上所述，国内外医院移动输液系统的技术和应用都围绕着提高医疗服务的效率和质量展开，通过引入物联网技术和智能化管理，减少人为错误，提升患者满意度。虽然具体的实现方式和品牌设备可能有所不同，但核心目标和技术趋势是一致的。</w:t>
      </w:r>
    </w:p>
    <w:p w14:paraId="2DF1B0FF">
      <w:pPr>
        <w:pStyle w:val="4"/>
        <w:rPr>
          <w:rFonts w:hint="eastAsia"/>
        </w:rPr>
      </w:pPr>
      <w:bookmarkStart w:id="18" w:name="_Toc176791477"/>
      <w:r>
        <w:rPr>
          <w:rFonts w:hint="eastAsia"/>
        </w:rPr>
        <w:t>技术方案</w:t>
      </w:r>
      <w:bookmarkEnd w:id="18"/>
    </w:p>
    <w:p w14:paraId="34A43B31">
      <w:pPr>
        <w:rPr>
          <w:rFonts w:hint="eastAsia"/>
        </w:rPr>
      </w:pPr>
      <w:r>
        <w:rPr>
          <w:rFonts w:hint="eastAsia"/>
        </w:rPr>
        <w:t>智慧病房作为智慧医疗的重要细分领域，其主要理念其实就是全球医疗院所中蔚为风尚的“床边服务观念”，过去可能只是依赖医护人员及许多医疗设备提供的各种信息来完成，现在透过病房医疗信息系统加以整合，并配合物联网的通讯功能，让医护人员不用随伺在病患身边，也能提供实时服务。不但可减少医护人力的负担，更重要的是，透过病房医疗信息系统，还能进一步与智能医院其他系统如电子病历相结合，进而提升医患关系与医疗服务质量。</w:t>
      </w:r>
    </w:p>
    <w:p w14:paraId="0FA75654">
      <w:pPr>
        <w:rPr>
          <w:rFonts w:hint="eastAsia"/>
        </w:rPr>
      </w:pPr>
      <w:r>
        <w:rPr>
          <w:rFonts w:hint="eastAsia"/>
        </w:rPr>
        <w:t>智慧病房建设目标是以HIMSS医院信息化等级评审和《全国医院信息化建设标准与规范》等标准规范为基础，通过物联网、云计算、5G、人工智能等技术，打造真正以病人/病床为中心的数字病床、智慧病房。</w:t>
      </w:r>
    </w:p>
    <w:p w14:paraId="408E98EA">
      <w:pPr>
        <w:rPr>
          <w:rFonts w:hint="eastAsia"/>
        </w:rPr>
      </w:pPr>
      <w:r>
        <w:rPr>
          <w:rFonts w:hint="eastAsia"/>
        </w:rPr>
        <w:t>以云计算、虚拟化和物联网等新技术为基础，构建集感知、网络融合和开放智能应用为一体的智慧病房服务平台提供各种高效的管理、医疗、科研服务，使得医生、护士与病人能快速、准确的获取病房中人、财、物和医、研、管业务过程中的信息，同时提供完善的智慧化服务支持。具有统一用户平台、统一身份认证、统一数据中心、统一云服务和统一感知等功能特点。</w:t>
      </w:r>
    </w:p>
    <w:p w14:paraId="4FFDA9E1">
      <w:pPr>
        <w:rPr>
          <w:rFonts w:hint="eastAsia"/>
        </w:rPr>
      </w:pPr>
      <w:r>
        <w:rPr>
          <w:rFonts w:hint="eastAsia"/>
        </w:rPr>
        <w:t>规划的医院慧病房主要由物联网基础平台、智慧病区管理服务、智慧护理服务应用、智慧感知监测组合构成，见下图。</w:t>
      </w:r>
    </w:p>
    <w:p w14:paraId="4DFE18C3">
      <w:pPr>
        <w:pStyle w:val="2"/>
        <w:ind w:firstLine="0" w:firstLineChars="0"/>
        <w:rPr>
          <w:rFonts w:hint="eastAsia"/>
        </w:rPr>
      </w:pPr>
      <w:r>
        <w:drawing>
          <wp:inline distT="0" distB="0" distL="0" distR="0">
            <wp:extent cx="5278120" cy="2764155"/>
            <wp:effectExtent l="0" t="0" r="0" b="0"/>
            <wp:docPr id="828719935" name="图片 828719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19935" name="图片 828719935"/>
                    <pic:cNvPicPr>
                      <a:picLocks noChangeAspect="1"/>
                    </pic:cNvPicPr>
                  </pic:nvPicPr>
                  <pic:blipFill>
                    <a:blip r:embed="rId18"/>
                    <a:srcRect t="5715" r="1025"/>
                    <a:stretch>
                      <a:fillRect/>
                    </a:stretch>
                  </pic:blipFill>
                  <pic:spPr>
                    <a:xfrm>
                      <a:off x="0" y="0"/>
                      <a:ext cx="5278120" cy="2764590"/>
                    </a:xfrm>
                    <a:prstGeom prst="rect">
                      <a:avLst/>
                    </a:prstGeom>
                  </pic:spPr>
                </pic:pic>
              </a:graphicData>
            </a:graphic>
          </wp:inline>
        </w:drawing>
      </w:r>
    </w:p>
    <w:p w14:paraId="02766D22">
      <w:pPr>
        <w:rPr>
          <w:rFonts w:hint="eastAsia"/>
        </w:rPr>
      </w:pPr>
      <w:r>
        <w:rPr>
          <w:rFonts w:hint="eastAsia"/>
        </w:rPr>
        <w:t>其中，物联网基础平台包含物联网网络层、物联网基础感知终端。</w:t>
      </w:r>
    </w:p>
    <w:p w14:paraId="771BE343">
      <w:pPr>
        <w:rPr>
          <w:rFonts w:hint="eastAsia"/>
        </w:rPr>
      </w:pPr>
      <w:r>
        <w:rPr>
          <w:rFonts w:hint="eastAsia"/>
        </w:rPr>
        <w:t>智慧病区管理服务包含病区管理应用与智能机器人应用两个模块。病房管理应用模块包含病房医护人员定位、病区三维重建、病区医疗设备物联网管理。智能机器应用模块包括智能药柜、智能衣柜、消毒机器人、物资运送机器人等构成。</w:t>
      </w:r>
    </w:p>
    <w:p w14:paraId="78D0F0B4">
      <w:pPr>
        <w:rPr>
          <w:rFonts w:hint="eastAsia"/>
        </w:rPr>
      </w:pPr>
      <w:r>
        <w:rPr>
          <w:rFonts w:hint="eastAsia"/>
        </w:rPr>
        <w:t>智慧病房护理服务氛围住院智慧服务、智慧医护工具、智慧感知监测三个模块。其中住院智慧服务包括床旁智能交互系统、住院医疗服务平台。智慧医护工具包括医护交班大屏、远程查房、视频会议系统应用。智能感知监测包括智能输液、智能床垫、无线体温监测。</w:t>
      </w:r>
    </w:p>
    <w:p w14:paraId="1EC93BDB">
      <w:pPr>
        <w:pStyle w:val="5"/>
        <w:tabs>
          <w:tab w:val="left" w:pos="0"/>
          <w:tab w:val="left" w:pos="720"/>
        </w:tabs>
        <w:ind w:left="0"/>
        <w:rPr>
          <w:rFonts w:hint="eastAsia"/>
        </w:rPr>
      </w:pPr>
      <w:r>
        <w:rPr>
          <w:rFonts w:hint="eastAsia"/>
        </w:rPr>
        <w:t>系统架构</w:t>
      </w:r>
    </w:p>
    <w:p w14:paraId="424A2B49">
      <w:pPr>
        <w:rPr>
          <w:rFonts w:hint="eastAsia" w:ascii="仿宋" w:hAnsi="仿宋"/>
          <w:szCs w:val="22"/>
        </w:rPr>
      </w:pPr>
      <w:r>
        <w:rPr>
          <w:rFonts w:hint="eastAsia" w:ascii="仿宋" w:hAnsi="仿宋"/>
          <w:szCs w:val="22"/>
        </w:rPr>
        <w:t>本系统对整个输液安全实现有效、高效的管理。系统可以为用户实现以下功能：</w:t>
      </w:r>
    </w:p>
    <w:p w14:paraId="37D29900">
      <w:pPr>
        <w:pStyle w:val="2"/>
        <w:ind w:firstLine="0" w:firstLineChars="0"/>
        <w:rPr>
          <w:rFonts w:hint="eastAsia"/>
          <w:highlight w:val="red"/>
        </w:rPr>
      </w:pPr>
      <w:r>
        <w:drawing>
          <wp:inline distT="0" distB="0" distL="114300" distR="114300">
            <wp:extent cx="5273675" cy="3193415"/>
            <wp:effectExtent l="0" t="0" r="317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5273675" cy="3193415"/>
                    </a:xfrm>
                    <a:prstGeom prst="rect">
                      <a:avLst/>
                    </a:prstGeom>
                    <a:noFill/>
                    <a:ln>
                      <a:noFill/>
                    </a:ln>
                  </pic:spPr>
                </pic:pic>
              </a:graphicData>
            </a:graphic>
          </wp:inline>
        </w:drawing>
      </w:r>
    </w:p>
    <w:p w14:paraId="238BB8F3">
      <w:pPr>
        <w:pStyle w:val="2"/>
        <w:rPr>
          <w:rFonts w:hint="eastAsia"/>
        </w:rPr>
      </w:pPr>
      <w:r>
        <w:rPr>
          <w:rFonts w:hint="eastAsia"/>
        </w:rPr>
        <w:t>移动输液监控系统不仅实现了对医院病区输液的安全监控，也无形中为医院创造了价值，提高了医院病区的输液和服务效率，提升了医院的社会声誉，进而提高了医院的经济效益。</w:t>
      </w:r>
    </w:p>
    <w:p w14:paraId="170235FB">
      <w:pPr>
        <w:pStyle w:val="5"/>
        <w:tabs>
          <w:tab w:val="left" w:pos="0"/>
          <w:tab w:val="left" w:pos="720"/>
        </w:tabs>
        <w:ind w:left="0"/>
        <w:rPr>
          <w:rFonts w:hint="eastAsia"/>
        </w:rPr>
      </w:pPr>
      <w:r>
        <w:t>系统流程</w:t>
      </w:r>
    </w:p>
    <w:p w14:paraId="3FE17E5E">
      <w:pPr>
        <w:rPr>
          <w:rFonts w:hint="eastAsia" w:ascii="仿宋" w:hAnsi="仿宋"/>
        </w:rPr>
      </w:pPr>
      <w:r>
        <w:rPr>
          <w:rFonts w:hint="eastAsia" w:ascii="仿宋" w:hAnsi="仿宋"/>
        </w:rPr>
        <w:t>通过本系统的上线，可以实现对整个输液安全实现有效、高效的管理，其应用优势主要通过以下方面得到体现：</w:t>
      </w:r>
    </w:p>
    <w:p w14:paraId="4160F806">
      <w:pPr>
        <w:rPr>
          <w:rFonts w:hint="eastAsia" w:ascii="仿宋" w:hAnsi="仿宋"/>
        </w:rPr>
      </w:pPr>
      <w:r>
        <w:rPr>
          <w:rFonts w:hint="eastAsia" w:ascii="仿宋" w:hAnsi="仿宋"/>
        </w:rPr>
        <w:t>1、用药闭环管理</w:t>
      </w:r>
    </w:p>
    <w:p w14:paraId="649F9E03">
      <w:pPr>
        <w:rPr>
          <w:rFonts w:hint="eastAsia" w:ascii="仿宋" w:hAnsi="仿宋"/>
        </w:rPr>
      </w:pPr>
      <w:r>
        <w:rPr>
          <w:rFonts w:hint="eastAsia" w:ascii="仿宋" w:hAnsi="仿宋"/>
        </w:rPr>
        <w:t>利用手持PDA核对病人与医嘱用药信息是否匹配，并将用药信息发送给输液监控器，输液监控系统实时上报并记录输液滴速数据，可追溯每一袋药的输注过程；</w:t>
      </w:r>
    </w:p>
    <w:p w14:paraId="59F6826B">
      <w:pPr>
        <w:rPr>
          <w:rFonts w:hint="eastAsia" w:ascii="仿宋" w:hAnsi="仿宋"/>
        </w:rPr>
      </w:pPr>
      <w:r>
        <w:rPr>
          <w:rFonts w:hint="eastAsia" w:ascii="仿宋" w:hAnsi="仿宋"/>
        </w:rPr>
        <w:t>2、设置监控器和床位的绑定功能</w:t>
      </w:r>
    </w:p>
    <w:p w14:paraId="0F77E85D">
      <w:pPr>
        <w:rPr>
          <w:rFonts w:hint="eastAsia" w:ascii="仿宋" w:hAnsi="仿宋"/>
        </w:rPr>
      </w:pPr>
      <w:r>
        <w:rPr>
          <w:rFonts w:hint="eastAsia" w:ascii="仿宋" w:hAnsi="仿宋"/>
        </w:rPr>
        <w:t>通过输液监控器的SN号和患者床位进行1对1绑定，避免对护士输液操作流程的改变；</w:t>
      </w:r>
    </w:p>
    <w:p w14:paraId="304D0923">
      <w:pPr>
        <w:rPr>
          <w:rFonts w:hint="eastAsia" w:ascii="仿宋" w:hAnsi="仿宋"/>
        </w:rPr>
      </w:pPr>
      <w:r>
        <w:rPr>
          <w:rFonts w:hint="eastAsia" w:ascii="仿宋" w:hAnsi="仿宋"/>
        </w:rPr>
        <w:t>3、实时掌握每个床位输液进度</w:t>
      </w:r>
    </w:p>
    <w:p w14:paraId="269F2AB6">
      <w:pPr>
        <w:rPr>
          <w:rFonts w:hint="eastAsia" w:ascii="仿宋" w:hAnsi="仿宋"/>
        </w:rPr>
      </w:pPr>
      <w:r>
        <w:rPr>
          <w:rFonts w:hint="eastAsia" w:ascii="仿宋" w:hAnsi="仿宋"/>
        </w:rPr>
        <w:t>对在病区所有床位的输液进度实时监控，能够对滴速异常、输液终端及输液结束等事件报警，重点监测输液剩余量，并可在接近输液结束时提醒，保证输液过程安全有序进行；</w:t>
      </w:r>
    </w:p>
    <w:p w14:paraId="71A46679">
      <w:pPr>
        <w:rPr>
          <w:rFonts w:hint="eastAsia" w:ascii="仿宋" w:hAnsi="仿宋"/>
        </w:rPr>
      </w:pPr>
      <w:r>
        <w:rPr>
          <w:rFonts w:hint="eastAsia" w:ascii="仿宋" w:hAnsi="仿宋"/>
        </w:rPr>
        <w:t>4、多维度提示输液告警消息</w:t>
      </w:r>
    </w:p>
    <w:p w14:paraId="240E1CAF">
      <w:pPr>
        <w:rPr>
          <w:rFonts w:hint="eastAsia" w:ascii="仿宋" w:hAnsi="仿宋"/>
        </w:rPr>
      </w:pPr>
      <w:r>
        <w:rPr>
          <w:rFonts w:hint="eastAsia" w:ascii="仿宋" w:hAnsi="仿宋"/>
        </w:rPr>
        <w:t>护士站墙上安装一块监控大屏（或利用护士站的工作电脑），通过语音播报、图形化图示的方式提示护士关注输液异常；</w:t>
      </w:r>
    </w:p>
    <w:p w14:paraId="40E4B251">
      <w:pPr>
        <w:rPr>
          <w:rFonts w:hint="eastAsia" w:ascii="仿宋" w:hAnsi="仿宋"/>
        </w:rPr>
      </w:pPr>
      <w:r>
        <w:rPr>
          <w:rFonts w:hint="eastAsia" w:ascii="仿宋" w:hAnsi="仿宋"/>
        </w:rPr>
        <w:t>也可通过移动护理系统对接，在手持终端PDA显示告警信息，通过可视化的方式让护士可以提前做好服务准备。</w:t>
      </w:r>
    </w:p>
    <w:p w14:paraId="416B0B91">
      <w:pPr>
        <w:pStyle w:val="5"/>
        <w:tabs>
          <w:tab w:val="left" w:pos="0"/>
          <w:tab w:val="left" w:pos="720"/>
        </w:tabs>
        <w:ind w:left="0"/>
        <w:rPr>
          <w:rFonts w:hint="eastAsia"/>
        </w:rPr>
      </w:pPr>
      <w:r>
        <w:t>运行环境要求</w:t>
      </w:r>
    </w:p>
    <w:p w14:paraId="4E0EC4E4">
      <w:pPr>
        <w:pStyle w:val="2"/>
        <w:rPr>
          <w:rFonts w:hint="eastAsia"/>
        </w:rPr>
      </w:pPr>
      <w:r>
        <w:rPr>
          <w:rFonts w:hint="eastAsia"/>
        </w:rPr>
        <w:t>移动输液系统的运行环境主要涉及到医院的门急诊输液室，特别是门急诊输液室作为医院的前沿阵地，每天接待大量的患者及家属，是人群相对集中而流动性较大的场所。</w:t>
      </w:r>
      <w:r>
        <w:t>这一环境的特点决定了移动输液系统的设计和实施需要特别考虑效率、安全性和患者体验。具体来说，移动输液系统的运行环境及其特点包括：</w:t>
      </w:r>
    </w:p>
    <w:p w14:paraId="0991D464">
      <w:pPr>
        <w:pStyle w:val="2"/>
        <w:rPr>
          <w:rFonts w:hint="eastAsia"/>
        </w:rPr>
      </w:pPr>
      <w:r>
        <w:rPr>
          <w:rFonts w:ascii="Times New Roman" w:hAnsi="Times New Roman"/>
        </w:rPr>
        <w:t>‌</w:t>
      </w:r>
      <w:r>
        <w:rPr>
          <w:rFonts w:hint="eastAsia"/>
        </w:rPr>
        <w:t>环境嘈杂</w:t>
      </w:r>
      <w:r>
        <w:rPr>
          <w:rFonts w:hint="eastAsia" w:ascii="Courier New" w:hAnsi="Courier New" w:cs="Courier New"/>
        </w:rPr>
        <w:t>，</w:t>
      </w:r>
      <w:r>
        <w:rPr>
          <w:rFonts w:hint="eastAsia" w:ascii="仿宋" w:hAnsi="仿宋" w:cs="仿宋"/>
        </w:rPr>
        <w:t>输液室通常是一个相对嘈杂的环境，患者多、流动性大，这要求移动输液系统能够高效地处理大量患者的输液需求。</w:t>
      </w:r>
    </w:p>
    <w:p w14:paraId="14CF4EF8">
      <w:pPr>
        <w:pStyle w:val="2"/>
        <w:rPr>
          <w:rFonts w:hint="eastAsia"/>
        </w:rPr>
      </w:pPr>
      <w:r>
        <w:rPr>
          <w:rFonts w:ascii="Times New Roman" w:hAnsi="Times New Roman"/>
        </w:rPr>
        <w:t>‌</w:t>
      </w:r>
      <w:r>
        <w:rPr>
          <w:rFonts w:hint="eastAsia"/>
        </w:rPr>
        <w:t>安全性要求高</w:t>
      </w:r>
      <w:r>
        <w:rPr>
          <w:rFonts w:hint="eastAsia" w:ascii="Courier New" w:hAnsi="Courier New" w:cs="Courier New"/>
        </w:rPr>
        <w:t>，</w:t>
      </w:r>
      <w:r>
        <w:rPr>
          <w:rFonts w:hint="eastAsia" w:ascii="仿宋" w:hAnsi="仿宋" w:cs="仿宋"/>
        </w:rPr>
        <w:t>由于涉及到患者的药物治疗，移动输液系统需要确保高度的安全性，包括患者身份的准确核对、药物使用的安全监控等。</w:t>
      </w:r>
    </w:p>
    <w:p w14:paraId="2474E188">
      <w:pPr>
        <w:pStyle w:val="2"/>
        <w:rPr>
          <w:rFonts w:hint="eastAsia"/>
        </w:rPr>
      </w:pPr>
      <w:r>
        <w:rPr>
          <w:rFonts w:ascii="Times New Roman" w:hAnsi="Times New Roman"/>
        </w:rPr>
        <w:t>‌</w:t>
      </w:r>
      <w:r>
        <w:rPr>
          <w:rFonts w:hint="eastAsia"/>
        </w:rPr>
        <w:t>患者呼叫困难</w:t>
      </w:r>
      <w:r>
        <w:rPr>
          <w:rFonts w:hint="eastAsia" w:ascii="Courier New" w:hAnsi="Courier New" w:cs="Courier New"/>
        </w:rPr>
        <w:t>，</w:t>
      </w:r>
      <w:r>
        <w:rPr>
          <w:rFonts w:hint="eastAsia" w:ascii="仿宋" w:hAnsi="仿宋" w:cs="仿宋"/>
        </w:rPr>
        <w:t>在传统的输液环境中，患者呼叫护士的方式可能不够高效，移动输液系统通过无线呼叫功能和移动终端设备，实现了患者呼叫信息的即时传递和处理。</w:t>
      </w:r>
    </w:p>
    <w:p w14:paraId="1125E4F4">
      <w:pPr>
        <w:pStyle w:val="2"/>
        <w:rPr>
          <w:rFonts w:hint="eastAsia"/>
        </w:rPr>
      </w:pPr>
      <w:r>
        <w:rPr>
          <w:rFonts w:ascii="Times New Roman" w:hAnsi="Times New Roman"/>
        </w:rPr>
        <w:t>‌</w:t>
      </w:r>
      <w:r>
        <w:rPr>
          <w:rFonts w:hint="eastAsia"/>
        </w:rPr>
        <w:t>工作流程繁琐</w:t>
      </w:r>
      <w:r>
        <w:rPr>
          <w:rFonts w:hint="eastAsia" w:ascii="Courier New" w:hAnsi="Courier New" w:cs="Courier New"/>
        </w:rPr>
        <w:t>，</w:t>
      </w:r>
      <w:r>
        <w:rPr>
          <w:rFonts w:hint="eastAsia" w:ascii="仿宋" w:hAnsi="仿宋" w:cs="仿宋"/>
        </w:rPr>
        <w:t>传统的输液管理流程可能繁琐且效率低下，移动输液系统通过信息化手段优化流程，提高工作效率，同时确保信息的准确性和可追溯性。</w:t>
      </w:r>
    </w:p>
    <w:p w14:paraId="75588FD0">
      <w:pPr>
        <w:pStyle w:val="2"/>
        <w:rPr>
          <w:rFonts w:hint="eastAsia"/>
        </w:rPr>
      </w:pPr>
      <w:r>
        <w:rPr>
          <w:rFonts w:ascii="Times New Roman" w:hAnsi="Times New Roman"/>
        </w:rPr>
        <w:t>‌</w:t>
      </w:r>
      <w:r>
        <w:rPr>
          <w:rFonts w:hint="eastAsia"/>
        </w:rPr>
        <w:t>需要信息化支持</w:t>
      </w:r>
      <w:r>
        <w:rPr>
          <w:rFonts w:hint="eastAsia" w:ascii="Courier New" w:hAnsi="Courier New" w:cs="Courier New"/>
        </w:rPr>
        <w:t>，</w:t>
      </w:r>
      <w:r>
        <w:rPr>
          <w:rFonts w:hint="eastAsia" w:ascii="仿宋" w:hAnsi="仿宋" w:cs="仿宋"/>
        </w:rPr>
        <w:t>移动输液系统的运行依赖于医院的信息系统，包括电子病历系统、药物管理系统等，以确保信息的实时更新和共享。</w:t>
      </w:r>
    </w:p>
    <w:p w14:paraId="749FDF5A">
      <w:pPr>
        <w:pStyle w:val="2"/>
        <w:rPr>
          <w:rFonts w:hint="eastAsia"/>
        </w:rPr>
      </w:pPr>
      <w:r>
        <w:rPr>
          <w:rFonts w:hint="eastAsia"/>
        </w:rPr>
        <w:t>综上所述，移动输液系统的运行环境具有其特殊性，要求系统能够高效、安全地处理大量患者的输液需求，同时优化工作流程，提高医院的管理水平和患者满意度。</w:t>
      </w:r>
    </w:p>
    <w:p w14:paraId="0CE81C22">
      <w:pPr>
        <w:pStyle w:val="2"/>
        <w:rPr>
          <w:rFonts w:hint="eastAsia"/>
        </w:rPr>
      </w:pPr>
      <w:r>
        <w:rPr>
          <w:rFonts w:hint="eastAsia"/>
        </w:rPr>
        <w:t>本次建设需同步落地无线（WiFi）及物联网信号覆盖，具备物联网传感网（如输液监控、冷链管理、环境监控、生命体征监护系统）通信能力，以及定位网（如人员定位、设备定位、医废车定位）房间级定位能力、导航网(人员导航、反向寻车）。覆盖范围包括：诊疗区、医技区以及配套用房、办公室、地下停车库。</w:t>
      </w:r>
    </w:p>
    <w:p w14:paraId="4944C7B7">
      <w:pPr>
        <w:pStyle w:val="2"/>
        <w:rPr>
          <w:rFonts w:hint="eastAsia"/>
        </w:rPr>
      </w:pPr>
      <w:r>
        <w:rPr>
          <w:rFonts w:hint="eastAsia"/>
        </w:rPr>
        <w:t>无线物联网系统设计采用数字信号分布平台+基站/网关模式，无线（WiFi）和物联网共建一套平台，无线（WiFi）、物联网络模块可互为独立，即无线网络故障不影响物联网运行，反之亦然；网络漫游必须做到零漫游、零丢包。</w:t>
      </w:r>
    </w:p>
    <w:p w14:paraId="4F720AD4">
      <w:pPr>
        <w:pStyle w:val="2"/>
        <w:rPr>
          <w:rFonts w:hint="eastAsia"/>
        </w:rPr>
      </w:pPr>
      <w:r>
        <w:rPr>
          <w:rFonts w:hint="eastAsia"/>
        </w:rPr>
        <w:t>数字信号分布平台支持400-7125MHz工作频率范围，可在不重复布线的前提下，在后端增加WiFi、星闪、Thread、RFID、ZigBee、LoRa等技术协议网关，实现不同厂家物联网应用扩展，且不受品牌、厂商的限制；减少重复投资，减少设备维护；</w:t>
      </w:r>
    </w:p>
    <w:p w14:paraId="00AFB18B">
      <w:pPr>
        <w:pStyle w:val="2"/>
        <w:rPr>
          <w:rFonts w:hint="eastAsia"/>
        </w:rPr>
      </w:pPr>
      <w:r>
        <w:rPr>
          <w:rFonts w:hint="eastAsia"/>
        </w:rPr>
        <w:t>为方便运维、确保装修美观，达到无线网络、物联网同步覆盖，无线（WiFi）、物联网络在病房/办公室发射端设备需共建共用，不能独立部署建网；</w:t>
      </w:r>
    </w:p>
    <w:p w14:paraId="6570593C">
      <w:pPr>
        <w:pStyle w:val="2"/>
        <w:rPr>
          <w:rFonts w:hint="eastAsia"/>
        </w:rPr>
      </w:pPr>
      <w:r>
        <w:rPr>
          <w:rFonts w:hint="eastAsia"/>
        </w:rPr>
        <w:t>如在患者住院区域，WiFi、物联网需实现零漫游、零切换；</w:t>
      </w:r>
    </w:p>
    <w:p w14:paraId="156DC763">
      <w:pPr>
        <w:pStyle w:val="2"/>
        <w:rPr>
          <w:rFonts w:hint="eastAsia"/>
        </w:rPr>
      </w:pPr>
      <w:r>
        <w:rPr>
          <w:rFonts w:hint="eastAsia"/>
        </w:rPr>
        <w:t>WiFi网络需支持160MHz频宽工作模式，支持1024QAM调制模式，5.1G/5.8G频段下，病区病区护理单元漫游最高速率需能达到≥1200Mbps；办公区无线网络速率支持≥1200Mbps</w:t>
      </w:r>
    </w:p>
    <w:p w14:paraId="06CD99E1">
      <w:pPr>
        <w:pStyle w:val="2"/>
        <w:rPr>
          <w:rFonts w:hint="eastAsia"/>
        </w:rPr>
      </w:pPr>
      <w:r>
        <w:rPr>
          <w:rFonts w:hint="eastAsia"/>
        </w:rPr>
        <w:t>提供统一用户认证系统，支持WPA2/WPA3 (PEAP MSCHAPv2)企业级认证，支持MAC认证;支持账号+密码+MAC+ESSID绑定认证，限制特定终端使用账号+码在指定ESSID下使用PEAP MSCHAPv2认证上网；</w:t>
      </w:r>
    </w:p>
    <w:p w14:paraId="2B19164E">
      <w:pPr>
        <w:pStyle w:val="5"/>
        <w:tabs>
          <w:tab w:val="left" w:pos="0"/>
          <w:tab w:val="left" w:pos="720"/>
        </w:tabs>
        <w:ind w:left="0"/>
        <w:rPr>
          <w:rFonts w:hint="eastAsia" w:asciiTheme="minorEastAsia" w:hAnsiTheme="minorEastAsia" w:cstheme="minorEastAsia"/>
        </w:rPr>
      </w:pPr>
      <w:r>
        <w:t>系统功能介绍</w:t>
      </w:r>
    </w:p>
    <w:p w14:paraId="55D39989">
      <w:pPr>
        <w:rPr>
          <w:rFonts w:hint="eastAsia" w:asciiTheme="minorEastAsia" w:hAnsiTheme="minorEastAsia" w:cstheme="minorEastAsia"/>
        </w:rPr>
      </w:pPr>
      <w:r>
        <w:rPr>
          <w:rFonts w:hint="eastAsia" w:asciiTheme="minorEastAsia" w:hAnsiTheme="minorEastAsia" w:cstheme="minorEastAsia"/>
        </w:rPr>
        <w:t>输液监护，输液监护管理系统软件，输液监护感应系统可通过物联网基站将病人输液的进度信息同步显示在监控屏上，实时监测输液过程，并可在输液完毕时自动终止，帮助医护人员及时、准确、高效的完成对病人输液监管的任务。系统功能包括监控屏管理、输液监护器管理、病人管理、用户管理、输液记录、输液统计、输液参数设置等功能。输液监护器，通过红外+称重技术双重验证实现对输液过程的精细化监护管理，监测内容包括输液瓶规格、剩余输液量、剩余时间及滴速等。为确保设备准确性和可靠性，输液监护器还应具备二类医疗器械认证证书。监护器充电架，输液监护器配套充电器，支持10个输液监护器充电。</w:t>
      </w:r>
    </w:p>
    <w:p w14:paraId="20E51F0C">
      <w:pPr>
        <w:rPr>
          <w:rFonts w:hint="eastAsia" w:asciiTheme="minorEastAsia" w:hAnsiTheme="minorEastAsia" w:cstheme="minorEastAsia"/>
        </w:rPr>
      </w:pPr>
      <w:r>
        <w:rPr>
          <w:rFonts w:hint="eastAsia" w:asciiTheme="minorEastAsia" w:hAnsiTheme="minorEastAsia" w:cstheme="minorEastAsia"/>
        </w:rPr>
        <w:t>移动护理，移动临床管理系统软件，移动临床管理系统软件是移动护理PC端系统软件，功能包括病人身份识别、生命体征管理、健康宣教、临床报告、交班报告及系统管理等。系统功能适配移动PDA端护士工作站、护理文书系统功能，满足医院以后移动信息化系统的扩展和升级，包括移动医生站、护理管理系统等。护士工作站，护士工作站通过无线网络和手持移动终端（如医疗PDA、医疗平板等），将护理工作从传统的固定地点延伸至病人床旁，实现了护理工作的优化、高效和智能化。系统具备患者列表、医嘱信息、信息查询、执行医嘱、入院评估及护理评估等功能。护理文书系统软件，护理文书系统软件通过电子化、网络化的方式，实现了护理文书的快速录入、查询、修改和存储，极大地提高了护理工作的效率和质量。系统具有电子护理文书录入、护理文书查询与修改、生命体征查阅、护理记录查阅等功能。电子白板系统，电子白板系统通过模块化的设计，将患者的各类数据清晰地呈现在护理大屏之上，为护士提供实时、准确的信息支持。实现了病区护理系统的数字化、智能化、可视化管理，替代传统手写板，确保病区护理信息的及时更新和准确传递。移动手持终端，医疗PDA，用于扫描识别二维码或条形码信息，支持医护人员实时获取患者信息、执行护理操作、录入和查询数据等操作。55寸智护屏（触摸式），触摸式大屏，位于护士站，用于综合展示及护士交互操作、信息发布。</w:t>
      </w:r>
    </w:p>
    <w:p w14:paraId="3A0ED6C2">
      <w:pPr>
        <w:rPr>
          <w:rFonts w:hint="eastAsia" w:asciiTheme="minorEastAsia" w:hAnsiTheme="minorEastAsia" w:cstheme="minorEastAsia"/>
        </w:rPr>
      </w:pPr>
      <w:r>
        <w:rPr>
          <w:rFonts w:hint="eastAsia" w:asciiTheme="minorEastAsia" w:hAnsiTheme="minorEastAsia" w:cstheme="minorEastAsia"/>
        </w:rPr>
        <w:t>组网建设，三射频卡，三射频卡用于AP物联网拓展，适配主流AP。三射频卡通过Mini PCI-E接口插槽内置于AP。采用物联网模块与PCI-E插槽模块方式可实现医院公共区域物联网信号覆盖，物联网模块包含：RFID/ZIGBEE/LORA/BLE等。以上物联网协议与AP技术标准皆参照物联网国际应用标准。</w:t>
      </w:r>
    </w:p>
    <w:p w14:paraId="20B58FCA">
      <w:pPr>
        <w:rPr>
          <w:rFonts w:hint="eastAsia" w:asciiTheme="minorEastAsia" w:hAnsiTheme="minorEastAsia" w:cstheme="minorEastAsia"/>
        </w:rPr>
      </w:pPr>
      <w:r>
        <w:rPr>
          <w:rFonts w:hint="eastAsia" w:asciiTheme="minorEastAsia" w:hAnsiTheme="minorEastAsia" w:cstheme="minorEastAsia"/>
        </w:rPr>
        <w:t>系统对接，此次项目建设涉及所有接口对接</w:t>
      </w:r>
      <w:r>
        <w:rPr>
          <w:rFonts w:hint="eastAsia"/>
        </w:rPr>
        <w:t>。</w:t>
      </w:r>
    </w:p>
    <w:p w14:paraId="5CDBD223">
      <w:pPr>
        <w:pStyle w:val="3"/>
        <w:rPr>
          <w:rFonts w:hint="eastAsia"/>
        </w:rPr>
      </w:pPr>
      <w:bookmarkStart w:id="19" w:name="_Toc176791478"/>
      <w:r>
        <w:rPr>
          <w:rFonts w:hint="eastAsia"/>
        </w:rPr>
        <w:t>环保、消防、职业安全、职业卫生和节能</w:t>
      </w:r>
      <w:bookmarkEnd w:id="19"/>
    </w:p>
    <w:p w14:paraId="44C0D047">
      <w:pPr>
        <w:pStyle w:val="4"/>
        <w:rPr>
          <w:rFonts w:hint="eastAsia"/>
        </w:rPr>
      </w:pPr>
      <w:bookmarkStart w:id="20" w:name="_Toc176791479"/>
      <w:r>
        <w:rPr>
          <w:rFonts w:hint="eastAsia"/>
        </w:rPr>
        <w:t>环境影响和环保措施</w:t>
      </w:r>
      <w:bookmarkEnd w:id="20"/>
    </w:p>
    <w:p w14:paraId="4A5A7088">
      <w:pPr>
        <w:pStyle w:val="12"/>
        <w:ind w:firstLine="520"/>
        <w:rPr>
          <w:rFonts w:hint="eastAsia"/>
        </w:rPr>
      </w:pPr>
      <w:r>
        <w:rPr>
          <w:rFonts w:hint="eastAsia"/>
        </w:rPr>
        <w:t>本项目建设不对环境造成影响，不产生污染。但要保证所选设备和机房局部空间无污染，符合消防安全要求，选用绿色电脑、外设和绿色节能照明光源。机房建设工程遵循国家机房设计标准规范的要求。</w:t>
      </w:r>
    </w:p>
    <w:p w14:paraId="10E2AD7C">
      <w:pPr>
        <w:pStyle w:val="12"/>
        <w:ind w:firstLine="520"/>
        <w:rPr>
          <w:rFonts w:hint="eastAsia"/>
        </w:rPr>
      </w:pPr>
      <w:r>
        <w:rPr>
          <w:rFonts w:hint="eastAsia"/>
        </w:rPr>
        <w:t>项目场地建设遵循建设部颁布的《民用建筑工程室内环境污染控制规定》（</w:t>
      </w:r>
      <w:r>
        <w:t>GB50352</w:t>
      </w:r>
      <w:r>
        <w:rPr>
          <w:rFonts w:hint="eastAsia"/>
        </w:rPr>
        <w:t>），国家质量监督检验检疫总局颁布的《室内装饰装修材料有害物质限量》等国家标准。</w:t>
      </w:r>
    </w:p>
    <w:p w14:paraId="3E60CCDE">
      <w:pPr>
        <w:pStyle w:val="12"/>
        <w:ind w:firstLine="520"/>
        <w:rPr>
          <w:rFonts w:hint="eastAsia"/>
        </w:rPr>
      </w:pPr>
      <w:r>
        <w:rPr>
          <w:rFonts w:hint="eastAsia"/>
        </w:rPr>
        <w:t>场地建设后，系统运行过程中不产生有害废气、废水、废渣等物质，不会污染环境。而空调、风机等硬件基本选用低噪声设备，并采取双层玻璃、隔离屏蔽等有效的消声措施。电磁辐射完全符合国际标准，对人体健康并不造成较大威胁。</w:t>
      </w:r>
    </w:p>
    <w:p w14:paraId="2F167E95">
      <w:pPr>
        <w:pStyle w:val="4"/>
        <w:rPr>
          <w:rFonts w:hint="eastAsia"/>
        </w:rPr>
      </w:pPr>
      <w:bookmarkStart w:id="21" w:name="_Toc176791480"/>
      <w:r>
        <w:rPr>
          <w:rFonts w:hint="eastAsia"/>
        </w:rPr>
        <w:t>消防措施</w:t>
      </w:r>
      <w:bookmarkEnd w:id="21"/>
    </w:p>
    <w:p w14:paraId="198E8BAB">
      <w:pPr>
        <w:pStyle w:val="12"/>
        <w:ind w:firstLine="520"/>
        <w:rPr>
          <w:rFonts w:hint="eastAsia"/>
        </w:rPr>
      </w:pPr>
      <w:r>
        <w:rPr>
          <w:rFonts w:hint="eastAsia"/>
        </w:rPr>
        <w:t>在项目建设中严格按照国家消防规范《建筑内部装修设计防火规范》（</w:t>
      </w:r>
      <w:r>
        <w:t>GB50222</w:t>
      </w:r>
      <w:r>
        <w:rPr>
          <w:rFonts w:hint="eastAsia"/>
        </w:rPr>
        <w:t>）、《中华人民共和国消防法》等国家法律和规定。在各个区域内都装自动喷淋系统和报警装置，配置七氟丙烷灭火器，以及适量手提式二氧化碳气体灭火器。</w:t>
      </w:r>
    </w:p>
    <w:p w14:paraId="1986EDE0">
      <w:pPr>
        <w:pStyle w:val="4"/>
        <w:rPr>
          <w:rFonts w:hint="eastAsia"/>
        </w:rPr>
      </w:pPr>
      <w:bookmarkStart w:id="22" w:name="_Toc176791481"/>
      <w:r>
        <w:rPr>
          <w:rFonts w:hint="eastAsia"/>
        </w:rPr>
        <w:t>职业安全和卫生措施</w:t>
      </w:r>
      <w:bookmarkEnd w:id="22"/>
    </w:p>
    <w:p w14:paraId="34C00197">
      <w:pPr>
        <w:pStyle w:val="12"/>
        <w:ind w:firstLine="520"/>
        <w:rPr>
          <w:rFonts w:hint="eastAsia"/>
        </w:rPr>
      </w:pPr>
      <w:r>
        <w:rPr>
          <w:rFonts w:hint="eastAsia"/>
        </w:rPr>
        <w:t>项目建设根据有关国家和部门标准规范，采取的主要安全卫生措施有：</w:t>
      </w:r>
    </w:p>
    <w:p w14:paraId="3771E255">
      <w:pPr>
        <w:pStyle w:val="12"/>
        <w:ind w:firstLine="520"/>
        <w:rPr>
          <w:rFonts w:hint="eastAsia"/>
        </w:rPr>
      </w:pPr>
      <w:r>
        <w:t>1</w:t>
      </w:r>
      <w:r>
        <w:rPr>
          <w:rFonts w:hint="eastAsia"/>
        </w:rPr>
        <w:t>）所有用电设备的金属外壳、金属底座、电缆金属铠装层、电缆保护管以及所有金属支架均与接地装置连接，设有安全接地，配电系统设有短路保护、过电流保护装置，以保证操作人员的安全和设备安全；</w:t>
      </w:r>
    </w:p>
    <w:p w14:paraId="2003B4C0">
      <w:pPr>
        <w:pStyle w:val="12"/>
        <w:ind w:firstLine="520"/>
        <w:rPr>
          <w:rFonts w:hint="eastAsia"/>
        </w:rPr>
      </w:pPr>
      <w:r>
        <w:t>2</w:t>
      </w:r>
      <w:r>
        <w:rPr>
          <w:rFonts w:hint="eastAsia"/>
        </w:rPr>
        <w:t>）建筑内设计足够的人行通道和运输通道，设置疏散标志，以保证通行安全。在主要通道和出入口均设置应急照明；</w:t>
      </w:r>
    </w:p>
    <w:p w14:paraId="428B640A">
      <w:pPr>
        <w:pStyle w:val="12"/>
        <w:ind w:firstLine="520"/>
        <w:rPr>
          <w:rFonts w:hint="eastAsia"/>
        </w:rPr>
      </w:pPr>
      <w:r>
        <w:t>3</w:t>
      </w:r>
      <w:r>
        <w:rPr>
          <w:rFonts w:hint="eastAsia"/>
        </w:rPr>
        <w:t>）办公环境配有空调、空气净化等装置，为工作人员提供舒适的工作环境；</w:t>
      </w:r>
    </w:p>
    <w:p w14:paraId="72AC69C7">
      <w:pPr>
        <w:pStyle w:val="12"/>
        <w:ind w:firstLine="520"/>
        <w:rPr>
          <w:rFonts w:hint="eastAsia"/>
        </w:rPr>
      </w:pPr>
      <w:r>
        <w:t>4</w:t>
      </w:r>
      <w:r>
        <w:rPr>
          <w:rFonts w:hint="eastAsia"/>
        </w:rPr>
        <w:t>）对消防、电磁干扰满足工作人员的卫生环境要求；</w:t>
      </w:r>
    </w:p>
    <w:p w14:paraId="648D7199">
      <w:pPr>
        <w:rPr>
          <w:rFonts w:hint="eastAsia"/>
        </w:rPr>
      </w:pPr>
      <w:r>
        <w:t>5</w:t>
      </w:r>
      <w:r>
        <w:rPr>
          <w:rFonts w:hint="eastAsia"/>
        </w:rPr>
        <w:t>）场地设有值班室、货物间、男女洗手间等辅助用房。</w:t>
      </w:r>
    </w:p>
    <w:p w14:paraId="3372C057">
      <w:pPr>
        <w:pStyle w:val="4"/>
        <w:rPr>
          <w:rFonts w:hint="eastAsia"/>
        </w:rPr>
      </w:pPr>
      <w:bookmarkStart w:id="23" w:name="_Toc176791482"/>
      <w:r>
        <w:rPr>
          <w:rFonts w:hint="eastAsia"/>
        </w:rPr>
        <w:t>节能目标及措施</w:t>
      </w:r>
      <w:bookmarkEnd w:id="23"/>
    </w:p>
    <w:p w14:paraId="2A151525">
      <w:pPr>
        <w:rPr>
          <w:rFonts w:hint="eastAsia"/>
          <w:szCs w:val="24"/>
        </w:rPr>
      </w:pPr>
      <w:r>
        <w:rPr>
          <w:rFonts w:hint="eastAsia"/>
          <w:szCs w:val="24"/>
        </w:rPr>
        <w:t>项目建场地建设遵循《公共建筑节能设计标准》、《建筑节能工程施工质量验收规范》等国家规定，场地建设后，系统运行过程中主要是使用计算机设备、网络设备和检测设备，运行能耗较小。在项目实施中，仍将严格遵守国家有关规定，控制能耗。根据有关国家和部门标准规范，采取的主要节能措施有：</w:t>
      </w:r>
    </w:p>
    <w:p w14:paraId="238C50A5">
      <w:pPr>
        <w:rPr>
          <w:rFonts w:hint="eastAsia"/>
          <w:szCs w:val="24"/>
        </w:rPr>
      </w:pPr>
      <w:r>
        <w:rPr>
          <w:szCs w:val="24"/>
        </w:rPr>
        <w:t>1</w:t>
      </w:r>
      <w:r>
        <w:rPr>
          <w:rFonts w:hint="eastAsia"/>
          <w:szCs w:val="24"/>
        </w:rPr>
        <w:t>）引进国内先进的关键计算机设备、网络设备和检测设备，要求能耗低、可靠性高；</w:t>
      </w:r>
    </w:p>
    <w:p w14:paraId="5ADDB9CD">
      <w:pPr>
        <w:rPr>
          <w:rFonts w:hint="eastAsia"/>
          <w:szCs w:val="24"/>
        </w:rPr>
      </w:pPr>
      <w:r>
        <w:rPr>
          <w:szCs w:val="24"/>
        </w:rPr>
        <w:t>2</w:t>
      </w:r>
      <w:r>
        <w:rPr>
          <w:rFonts w:hint="eastAsia"/>
          <w:szCs w:val="24"/>
        </w:rPr>
        <w:t>）国内生产与办公设备选用优质节能产品；</w:t>
      </w:r>
    </w:p>
    <w:p w14:paraId="73F42CC3">
      <w:pPr>
        <w:rPr>
          <w:rFonts w:hint="eastAsia"/>
          <w:szCs w:val="24"/>
        </w:rPr>
      </w:pPr>
      <w:r>
        <w:rPr>
          <w:szCs w:val="24"/>
        </w:rPr>
        <w:t>3</w:t>
      </w:r>
      <w:r>
        <w:rPr>
          <w:rFonts w:hint="eastAsia"/>
          <w:szCs w:val="24"/>
        </w:rPr>
        <w:t>）设计中选用的各类配套设备，均选用优质节能系列产品；</w:t>
      </w:r>
    </w:p>
    <w:p w14:paraId="60F58243">
      <w:pPr>
        <w:rPr>
          <w:rFonts w:hint="eastAsia"/>
          <w:szCs w:val="24"/>
        </w:rPr>
      </w:pPr>
      <w:r>
        <w:rPr>
          <w:szCs w:val="24"/>
        </w:rPr>
        <w:t>4</w:t>
      </w:r>
      <w:r>
        <w:rPr>
          <w:rFonts w:hint="eastAsia"/>
          <w:szCs w:val="24"/>
        </w:rPr>
        <w:t>）各种管道应采取保温、隔热等措施；</w:t>
      </w:r>
    </w:p>
    <w:p w14:paraId="3426AB95">
      <w:pPr>
        <w:rPr>
          <w:rFonts w:hint="eastAsia"/>
        </w:rPr>
      </w:pPr>
      <w:r>
        <w:rPr>
          <w:szCs w:val="24"/>
        </w:rPr>
        <w:t>5</w:t>
      </w:r>
      <w:r>
        <w:rPr>
          <w:rFonts w:hint="eastAsia"/>
          <w:szCs w:val="24"/>
        </w:rPr>
        <w:t>）建筑墙面、吊顶作保温层或双层隔离，减少能量损耗。</w:t>
      </w:r>
    </w:p>
    <w:p w14:paraId="68A0CAF5">
      <w:pPr>
        <w:pStyle w:val="3"/>
        <w:rPr>
          <w:rFonts w:hint="eastAsia"/>
        </w:rPr>
      </w:pPr>
      <w:bookmarkStart w:id="24" w:name="_Toc176791483"/>
      <w:r>
        <w:rPr>
          <w:rFonts w:hint="eastAsia"/>
        </w:rPr>
        <w:t>项目组织机构和人员</w:t>
      </w:r>
      <w:bookmarkEnd w:id="24"/>
    </w:p>
    <w:p w14:paraId="660AE923">
      <w:pPr>
        <w:pStyle w:val="4"/>
        <w:tabs>
          <w:tab w:val="left" w:pos="0"/>
          <w:tab w:val="left" w:pos="718"/>
          <w:tab w:val="clear" w:pos="420"/>
        </w:tabs>
        <w:rPr>
          <w:rFonts w:hint="eastAsia"/>
        </w:rPr>
      </w:pPr>
      <w:bookmarkStart w:id="25" w:name="_Toc91606837"/>
      <w:bookmarkStart w:id="26" w:name="_Toc151021729"/>
      <w:bookmarkStart w:id="27" w:name="_Toc43716419"/>
      <w:bookmarkStart w:id="28" w:name="_Toc43046311"/>
      <w:bookmarkStart w:id="29" w:name="_Toc43046872"/>
      <w:bookmarkStart w:id="30" w:name="_Toc20427404"/>
      <w:bookmarkStart w:id="31" w:name="_Toc85530548"/>
      <w:bookmarkStart w:id="32" w:name="_Toc28843"/>
      <w:bookmarkStart w:id="33" w:name="_Toc345419335"/>
      <w:bookmarkStart w:id="34" w:name="_Toc89856637"/>
      <w:bookmarkStart w:id="35" w:name="_Toc30162279"/>
      <w:bookmarkStart w:id="36" w:name="_Toc151111743"/>
      <w:bookmarkStart w:id="37" w:name="_Toc176791484"/>
      <w:bookmarkStart w:id="38" w:name="_Toc313736562"/>
      <w:bookmarkStart w:id="39" w:name="_Toc43716537"/>
      <w:bookmarkStart w:id="40" w:name="_Toc258508806"/>
      <w:r>
        <w:rPr>
          <w:rFonts w:hint="eastAsia"/>
        </w:rPr>
        <w:t>领导和管理机构</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1EB9D91">
      <w:pPr>
        <w:rPr>
          <w:rFonts w:hint="eastAsia"/>
        </w:rPr>
      </w:pPr>
      <w:r>
        <w:rPr>
          <w:rFonts w:hint="eastAsia"/>
        </w:rPr>
        <w:t>为了保证项目顺利实施和正常运行，确保工程质量并达到预期目标，工程建设成立本项目建设领导小组，统一组织、协调本项目的建设工作。在领导小组的领导下，成立项目建设管理办公室（简称办公室）作为项目建设的执行机构。</w:t>
      </w:r>
    </w:p>
    <w:p w14:paraId="70951CF5">
      <w:pPr>
        <w:rPr>
          <w:rFonts w:hint="eastAsia"/>
        </w:rPr>
      </w:pPr>
      <w:r>
        <w:rPr>
          <w:rFonts w:hint="eastAsia"/>
        </w:rPr>
        <w:t>项目建设组织机构的设立应本着“统一领导、分工明确、职责清晰、协调配合”的原则。</w:t>
      </w:r>
    </w:p>
    <w:p w14:paraId="0C76E1D0">
      <w:pPr>
        <w:rPr>
          <w:rFonts w:hint="eastAsia"/>
        </w:rPr>
      </w:pPr>
      <w:r>
        <w:rPr>
          <w:rFonts w:hint="eastAsia"/>
        </w:rPr>
        <w:t>项目的组织管理与职责分工如下：</w:t>
      </w:r>
    </w:p>
    <w:p w14:paraId="02CD80C2">
      <w:pPr>
        <w:rPr>
          <w:rFonts w:hint="eastAsia"/>
        </w:rPr>
      </w:pPr>
      <w:r>
        <w:rPr>
          <w:rFonts w:hint="eastAsia"/>
        </w:rPr>
        <w:t>1、项目领导小组：是项目建设的决策和协调机构，明确建设目标、建设内容及项目建设的组织方式，同时还负责跨部门跨地区重大问题的协调。</w:t>
      </w:r>
    </w:p>
    <w:p w14:paraId="67583088">
      <w:pPr>
        <w:rPr>
          <w:rFonts w:hint="eastAsia"/>
        </w:rPr>
      </w:pPr>
      <w:r>
        <w:rPr>
          <w:rFonts w:hint="eastAsia"/>
        </w:rPr>
        <w:t>2、项目建设</w:t>
      </w:r>
      <w:bookmarkStart w:id="213" w:name="_GoBack"/>
      <w:bookmarkEnd w:id="213"/>
      <w:r>
        <w:rPr>
          <w:rFonts w:hint="eastAsia"/>
        </w:rPr>
        <w:t>专家委员会：在重庆市专家库抽取专家，负责为本项目的设计与实施提供咨询和建议，协助审核各阶段的计划、实施方案。</w:t>
      </w:r>
    </w:p>
    <w:p w14:paraId="6AD93029">
      <w:pPr>
        <w:pStyle w:val="4"/>
        <w:tabs>
          <w:tab w:val="left" w:pos="0"/>
          <w:tab w:val="left" w:pos="718"/>
          <w:tab w:val="clear" w:pos="420"/>
        </w:tabs>
        <w:rPr>
          <w:rFonts w:hint="eastAsia"/>
        </w:rPr>
      </w:pPr>
      <w:bookmarkStart w:id="41" w:name="_Toc30162280"/>
      <w:bookmarkStart w:id="42" w:name="_Toc345419336"/>
      <w:bookmarkStart w:id="43" w:name="_Toc151111744"/>
      <w:bookmarkStart w:id="44" w:name="_Toc43046873"/>
      <w:bookmarkStart w:id="45" w:name="_Toc43716538"/>
      <w:bookmarkStart w:id="46" w:name="_Toc176791485"/>
      <w:bookmarkStart w:id="47" w:name="_Toc91606838"/>
      <w:bookmarkStart w:id="48" w:name="_Toc89856638"/>
      <w:bookmarkStart w:id="49" w:name="_Toc85530549"/>
      <w:bookmarkStart w:id="50" w:name="_Toc43716420"/>
      <w:bookmarkStart w:id="51" w:name="_Toc313736563"/>
      <w:bookmarkStart w:id="52" w:name="_Toc4376"/>
      <w:bookmarkStart w:id="53" w:name="_Toc20427405"/>
      <w:bookmarkStart w:id="54" w:name="_Toc43046312"/>
      <w:bookmarkStart w:id="55" w:name="_Toc151021730"/>
      <w:r>
        <w:rPr>
          <w:rFonts w:hint="eastAsia"/>
        </w:rPr>
        <w:t>项目实施及运行维护机构</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5EEB53B">
      <w:pPr>
        <w:rPr>
          <w:rFonts w:hint="eastAsia"/>
        </w:rPr>
      </w:pPr>
      <w:r>
        <w:rPr>
          <w:rFonts w:hint="eastAsia"/>
        </w:rPr>
        <w:t>综合组：负责组织编写项目建设方案，组织项目方案论证会。</w:t>
      </w:r>
    </w:p>
    <w:p w14:paraId="62C883E8">
      <w:pPr>
        <w:rPr>
          <w:rFonts w:hint="eastAsia"/>
        </w:rPr>
      </w:pPr>
      <w:r>
        <w:rPr>
          <w:rFonts w:hint="eastAsia"/>
        </w:rPr>
        <w:t>工程组：制订工程实施方案和进度计划，组织工程实施和质量管理，负责项目协调和工程验收移交。</w:t>
      </w:r>
    </w:p>
    <w:p w14:paraId="30854805">
      <w:pPr>
        <w:rPr>
          <w:rFonts w:hint="eastAsia"/>
        </w:rPr>
      </w:pPr>
      <w:r>
        <w:rPr>
          <w:rFonts w:hint="eastAsia"/>
        </w:rPr>
        <w:t>技术组：负责工程技术方案、工程设计书、工程建设计划、设备采购标书等工程技术文件的编写、审核，配合工程组做好技术把关和测试验收工作。</w:t>
      </w:r>
    </w:p>
    <w:p w14:paraId="63CA0576">
      <w:pPr>
        <w:rPr>
          <w:rFonts w:hint="eastAsia"/>
        </w:rPr>
      </w:pPr>
      <w:r>
        <w:rPr>
          <w:rFonts w:hint="eastAsia"/>
        </w:rPr>
        <w:t>安全组：负责项目信息安全目标的实现，协助工程组管理项目安全子系统的建设，完成安全系统测试、验收工作。提出各单位建立网络与信息安全应急处理机制意见，制定应急预案和备份方案，处理网络与信息安全事件，并根据安全事件的性质及时向安全部门报告。</w:t>
      </w:r>
    </w:p>
    <w:p w14:paraId="401AF09C">
      <w:pPr>
        <w:rPr>
          <w:rFonts w:hint="eastAsia"/>
        </w:rPr>
      </w:pPr>
      <w:r>
        <w:rPr>
          <w:rFonts w:hint="eastAsia"/>
        </w:rPr>
        <w:t>财务组：负责项目资金管理。</w:t>
      </w:r>
    </w:p>
    <w:p w14:paraId="52E4AECC">
      <w:pPr>
        <w:rPr>
          <w:rFonts w:hint="eastAsia"/>
        </w:rPr>
      </w:pPr>
      <w:r>
        <w:rPr>
          <w:rFonts w:hint="eastAsia"/>
        </w:rPr>
        <w:t>标准组：负责组织研究、制定本项目的标准规范体系并监督执行。</w:t>
      </w:r>
    </w:p>
    <w:p w14:paraId="6FFF1EE5">
      <w:pPr>
        <w:pStyle w:val="4"/>
        <w:tabs>
          <w:tab w:val="left" w:pos="0"/>
          <w:tab w:val="left" w:pos="718"/>
          <w:tab w:val="clear" w:pos="420"/>
        </w:tabs>
        <w:rPr>
          <w:rFonts w:hint="eastAsia"/>
        </w:rPr>
      </w:pPr>
      <w:bookmarkStart w:id="56" w:name="_Toc20427406"/>
      <w:bookmarkStart w:id="57" w:name="_Toc43046313"/>
      <w:bookmarkStart w:id="58" w:name="_Toc176791486"/>
      <w:bookmarkStart w:id="59" w:name="_Toc151111745"/>
      <w:bookmarkStart w:id="60" w:name="_Toc85530550"/>
      <w:bookmarkStart w:id="61" w:name="_Toc2737"/>
      <w:bookmarkStart w:id="62" w:name="_Toc43716421"/>
      <w:bookmarkStart w:id="63" w:name="_Toc91606839"/>
      <w:bookmarkStart w:id="64" w:name="_Toc43046874"/>
      <w:bookmarkStart w:id="65" w:name="_Toc43716539"/>
      <w:bookmarkStart w:id="66" w:name="_Toc313736564"/>
      <w:bookmarkStart w:id="67" w:name="_Toc345419337"/>
      <w:bookmarkStart w:id="68" w:name="_Toc89856639"/>
      <w:bookmarkStart w:id="69" w:name="_Toc30162281"/>
      <w:bookmarkStart w:id="70" w:name="_Toc151021731"/>
      <w:r>
        <w:rPr>
          <w:rFonts w:hint="eastAsia"/>
        </w:rPr>
        <w:t>技术力量和人员配置</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D68510C">
      <w:pPr>
        <w:rPr>
          <w:rFonts w:hint="eastAsia"/>
        </w:rPr>
      </w:pPr>
      <w:r>
        <w:rPr>
          <w:rFonts w:hint="eastAsia"/>
        </w:rPr>
        <w:t>技术力量和人员配置，应该在保证工程建设质量和进度、保障外网的安全与正常运维的要求下进行设置。随着业务的不断发展，根据需要动态调整人员的配置。</w:t>
      </w:r>
    </w:p>
    <w:p w14:paraId="18AC1028">
      <w:pPr>
        <w:rPr>
          <w:rFonts w:hint="eastAsia"/>
        </w:rPr>
      </w:pPr>
      <w:r>
        <w:rPr>
          <w:rFonts w:hint="eastAsia"/>
        </w:rPr>
        <w:t>项目建设专家委员会，应该由不少于3人构成，成员的组成应该充分体现广泛的代表性。人员的遴选由项目领导小组讨论决定。</w:t>
      </w:r>
    </w:p>
    <w:p w14:paraId="3F32B407">
      <w:pPr>
        <w:rPr>
          <w:rFonts w:hint="eastAsia"/>
        </w:rPr>
      </w:pPr>
      <w:r>
        <w:rPr>
          <w:rFonts w:hint="eastAsia"/>
        </w:rPr>
        <w:t>在建设阶段，可以临时设立综合组、工程组、技术组、安全组、财务组和标准组。初期，技术力量的配置，本着“干练、精简、高效”的原则。</w:t>
      </w:r>
      <w:bookmarkStart w:id="71" w:name="_Toc89856640"/>
      <w:bookmarkStart w:id="72" w:name="_Toc91606840"/>
      <w:r>
        <w:rPr>
          <w:rFonts w:hint="eastAsia"/>
        </w:rPr>
        <w:t>人员培训方案</w:t>
      </w:r>
      <w:bookmarkEnd w:id="71"/>
      <w:bookmarkEnd w:id="72"/>
    </w:p>
    <w:p w14:paraId="71F77C41">
      <w:pPr>
        <w:pStyle w:val="4"/>
        <w:tabs>
          <w:tab w:val="left" w:pos="0"/>
          <w:tab w:val="left" w:pos="718"/>
          <w:tab w:val="clear" w:pos="420"/>
        </w:tabs>
        <w:rPr>
          <w:rFonts w:hint="eastAsia"/>
        </w:rPr>
      </w:pPr>
      <w:bookmarkStart w:id="73" w:name="_Toc176791487"/>
      <w:bookmarkStart w:id="74" w:name="_Toc400739471"/>
      <w:bookmarkStart w:id="75" w:name="_Toc91606841"/>
      <w:bookmarkStart w:id="76" w:name="_Toc151021732"/>
      <w:bookmarkStart w:id="77" w:name="_Toc521480593"/>
      <w:bookmarkStart w:id="78" w:name="_Toc85530552"/>
      <w:bookmarkStart w:id="79" w:name="_Toc235417856"/>
      <w:bookmarkStart w:id="80" w:name="_Toc271011260"/>
      <w:bookmarkStart w:id="81" w:name="_Toc297822803"/>
      <w:bookmarkStart w:id="82" w:name="_Toc151111746"/>
      <w:bookmarkStart w:id="83" w:name="_Toc228651154"/>
      <w:bookmarkStart w:id="84" w:name="_Toc276385368"/>
      <w:bookmarkStart w:id="85" w:name="_Toc89856641"/>
      <w:bookmarkStart w:id="86" w:name="_Toc22133"/>
      <w:bookmarkStart w:id="87" w:name="_Toc226951306"/>
      <w:r>
        <w:rPr>
          <w:rFonts w:hint="eastAsia"/>
        </w:rPr>
        <w:t>培训目的</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F8E1491">
      <w:pPr>
        <w:rPr>
          <w:rFonts w:hint="eastAsia"/>
        </w:rPr>
      </w:pPr>
      <w:r>
        <w:rPr>
          <w:rFonts w:hint="eastAsia"/>
        </w:rPr>
        <w:t>培训的目的是使用户熟悉并掌握种业务系统的使用。</w:t>
      </w:r>
    </w:p>
    <w:p w14:paraId="4D187CF6">
      <w:pPr>
        <w:pStyle w:val="4"/>
        <w:tabs>
          <w:tab w:val="left" w:pos="0"/>
          <w:tab w:val="left" w:pos="718"/>
          <w:tab w:val="clear" w:pos="420"/>
        </w:tabs>
        <w:rPr>
          <w:rFonts w:hint="eastAsia"/>
        </w:rPr>
      </w:pPr>
      <w:bookmarkStart w:id="88" w:name="_Toc400739472"/>
      <w:bookmarkStart w:id="89" w:name="_Toc151021733"/>
      <w:bookmarkStart w:id="90" w:name="_Toc89856642"/>
      <w:bookmarkStart w:id="91" w:name="_Toc151111747"/>
      <w:bookmarkStart w:id="92" w:name="_Toc235417857"/>
      <w:bookmarkStart w:id="93" w:name="_Toc85530553"/>
      <w:bookmarkStart w:id="94" w:name="_Toc276385369"/>
      <w:bookmarkStart w:id="95" w:name="_Toc176791488"/>
      <w:bookmarkStart w:id="96" w:name="_Toc11758"/>
      <w:bookmarkStart w:id="97" w:name="_Toc91606842"/>
      <w:bookmarkStart w:id="98" w:name="_Toc297822804"/>
      <w:bookmarkStart w:id="99" w:name="_Toc271011261"/>
      <w:bookmarkStart w:id="100" w:name="_Toc228651155"/>
      <w:bookmarkStart w:id="101" w:name="_Toc521480594"/>
      <w:r>
        <w:rPr>
          <w:rFonts w:hint="eastAsia"/>
        </w:rPr>
        <w:t>培训目标及对象</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37766309">
      <w:pPr>
        <w:rPr>
          <w:rFonts w:hint="eastAsia"/>
        </w:rPr>
      </w:pPr>
      <w:r>
        <w:rPr>
          <w:rFonts w:hint="eastAsia"/>
        </w:rPr>
        <w:t>为了确保各系统建设的顺利运行和系统投入使用后的稳定，通过对用户方工作人员进行相应的专业技术和应用技术培训，达到提高工作效率、发挥各系统应用效率的预期目标。</w:t>
      </w:r>
    </w:p>
    <w:p w14:paraId="7A48F8FB">
      <w:pPr>
        <w:rPr>
          <w:rFonts w:hint="eastAsia"/>
        </w:rPr>
      </w:pPr>
      <w:r>
        <w:rPr>
          <w:rFonts w:hint="eastAsia"/>
        </w:rPr>
        <w:t>通过培训工作的开展，要达到如下目标：</w:t>
      </w:r>
    </w:p>
    <w:p w14:paraId="0412DF4A">
      <w:pPr>
        <w:numPr>
          <w:ilvl w:val="0"/>
          <w:numId w:val="2"/>
        </w:numPr>
        <w:ind w:left="0" w:firstLine="520"/>
        <w:rPr>
          <w:rFonts w:hint="eastAsia"/>
        </w:rPr>
      </w:pPr>
      <w:r>
        <w:rPr>
          <w:rFonts w:hint="eastAsia"/>
        </w:rPr>
        <w:t>用户方了解各系统建设背景、基本理论和方法；</w:t>
      </w:r>
    </w:p>
    <w:p w14:paraId="533C22C8">
      <w:pPr>
        <w:numPr>
          <w:ilvl w:val="0"/>
          <w:numId w:val="2"/>
        </w:numPr>
        <w:ind w:left="0" w:firstLine="520"/>
        <w:rPr>
          <w:rFonts w:hint="eastAsia"/>
        </w:rPr>
      </w:pPr>
      <w:r>
        <w:rPr>
          <w:rFonts w:hint="eastAsia"/>
        </w:rPr>
        <w:t>用户方掌握各系统的使用方法；</w:t>
      </w:r>
    </w:p>
    <w:p w14:paraId="10EB9C5F">
      <w:pPr>
        <w:numPr>
          <w:ilvl w:val="0"/>
          <w:numId w:val="2"/>
        </w:numPr>
        <w:ind w:left="0" w:firstLine="520"/>
        <w:rPr>
          <w:rFonts w:hint="eastAsia"/>
        </w:rPr>
      </w:pPr>
      <w:r>
        <w:rPr>
          <w:rFonts w:hint="eastAsia"/>
        </w:rPr>
        <w:t>用户方熟悉各类硬件、软件系统的使用操作；</w:t>
      </w:r>
    </w:p>
    <w:p w14:paraId="4EAD717E">
      <w:pPr>
        <w:numPr>
          <w:ilvl w:val="0"/>
          <w:numId w:val="2"/>
        </w:numPr>
        <w:ind w:left="0" w:firstLine="520"/>
        <w:rPr>
          <w:rFonts w:hint="eastAsia"/>
        </w:rPr>
      </w:pPr>
      <w:r>
        <w:rPr>
          <w:rFonts w:hint="eastAsia"/>
        </w:rPr>
        <w:t>用户方掌握网络系统的安装、调试和日常维护等操作；</w:t>
      </w:r>
    </w:p>
    <w:p w14:paraId="6E281343">
      <w:pPr>
        <w:numPr>
          <w:ilvl w:val="0"/>
          <w:numId w:val="2"/>
        </w:numPr>
        <w:ind w:left="0" w:firstLine="520"/>
        <w:rPr>
          <w:rFonts w:hint="eastAsia"/>
        </w:rPr>
      </w:pPr>
      <w:r>
        <w:rPr>
          <w:rFonts w:hint="eastAsia"/>
        </w:rPr>
        <w:t>用户方掌握网络安全基本知识，建立网络安全意识；</w:t>
      </w:r>
    </w:p>
    <w:p w14:paraId="6CC50A1C">
      <w:pPr>
        <w:numPr>
          <w:ilvl w:val="0"/>
          <w:numId w:val="2"/>
        </w:numPr>
        <w:ind w:left="0" w:firstLine="520"/>
        <w:rPr>
          <w:rFonts w:hint="eastAsia"/>
        </w:rPr>
      </w:pPr>
      <w:r>
        <w:rPr>
          <w:rFonts w:hint="eastAsia"/>
        </w:rPr>
        <w:t>用户方掌握数据库基本知识，能够进行安装、调试和日常维护；</w:t>
      </w:r>
    </w:p>
    <w:p w14:paraId="71AB6BAA">
      <w:pPr>
        <w:rPr>
          <w:rFonts w:hint="eastAsia"/>
        </w:rPr>
      </w:pPr>
      <w:r>
        <w:rPr>
          <w:rFonts w:hint="eastAsia"/>
        </w:rPr>
        <w:t>培训对象包括：各专业单位人员、各科室使用人员、系统维护人员、相关领导等。</w:t>
      </w:r>
    </w:p>
    <w:p w14:paraId="4FEF75A8">
      <w:pPr>
        <w:pStyle w:val="4"/>
        <w:tabs>
          <w:tab w:val="left" w:pos="0"/>
          <w:tab w:val="left" w:pos="718"/>
          <w:tab w:val="clear" w:pos="420"/>
        </w:tabs>
        <w:rPr>
          <w:rFonts w:hint="eastAsia"/>
        </w:rPr>
      </w:pPr>
      <w:bookmarkStart w:id="102" w:name="_Toc151111748"/>
      <w:bookmarkStart w:id="103" w:name="_Toc176791489"/>
      <w:bookmarkStart w:id="104" w:name="_Toc151021734"/>
      <w:bookmarkStart w:id="105" w:name="_Toc89856643"/>
      <w:bookmarkStart w:id="106" w:name="_Toc276385370"/>
      <w:bookmarkStart w:id="107" w:name="_Toc521480595"/>
      <w:bookmarkStart w:id="108" w:name="_Toc271011262"/>
      <w:bookmarkStart w:id="109" w:name="_Toc235417858"/>
      <w:bookmarkStart w:id="110" w:name="_Toc228651156"/>
      <w:bookmarkStart w:id="111" w:name="_Toc2534"/>
      <w:bookmarkStart w:id="112" w:name="_Toc85530554"/>
      <w:bookmarkStart w:id="113" w:name="_Toc297822805"/>
      <w:bookmarkStart w:id="114" w:name="_Toc91606843"/>
      <w:bookmarkStart w:id="115" w:name="_Toc400739473"/>
      <w:bookmarkStart w:id="116" w:name="_Toc226951307"/>
      <w:r>
        <w:rPr>
          <w:rFonts w:hint="eastAsia"/>
        </w:rPr>
        <w:t>培训方式</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5A0E92E6">
      <w:pPr>
        <w:pStyle w:val="5"/>
        <w:tabs>
          <w:tab w:val="left" w:pos="0"/>
          <w:tab w:val="left" w:pos="720"/>
        </w:tabs>
        <w:rPr>
          <w:rFonts w:hint="eastAsia"/>
        </w:rPr>
      </w:pPr>
      <w:bookmarkStart w:id="117" w:name="_Toc151021735"/>
      <w:bookmarkStart w:id="118" w:name="_Toc151111749"/>
      <w:bookmarkStart w:id="119" w:name="_Toc298761608"/>
      <w:bookmarkStart w:id="120" w:name="_Toc298742635"/>
      <w:bookmarkStart w:id="121" w:name="_Toc91606844"/>
      <w:bookmarkStart w:id="122" w:name="_Toc158029184"/>
      <w:bookmarkStart w:id="123" w:name="_Toc85530555"/>
      <w:bookmarkStart w:id="124" w:name="_Toc169193446"/>
      <w:bookmarkStart w:id="125" w:name="_Toc228651157"/>
      <w:bookmarkStart w:id="126" w:name="_Toc89856644"/>
      <w:bookmarkStart w:id="127" w:name="_Toc169190558"/>
      <w:bookmarkStart w:id="128" w:name="_Toc168977026"/>
      <w:bookmarkStart w:id="129" w:name="_Toc215915861"/>
      <w:bookmarkStart w:id="130" w:name="_Toc271011263"/>
      <w:bookmarkStart w:id="131" w:name="_Toc22217"/>
      <w:bookmarkStart w:id="132" w:name="_Toc169189849"/>
      <w:bookmarkStart w:id="133" w:name="_Toc235417859"/>
      <w:r>
        <w:rPr>
          <w:rFonts w:hint="eastAsia"/>
        </w:rPr>
        <w:t>统一培训</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68FDEC6F">
      <w:pPr>
        <w:rPr>
          <w:rFonts w:hint="eastAsia"/>
        </w:rPr>
      </w:pPr>
      <w:r>
        <w:rPr>
          <w:rFonts w:hint="eastAsia"/>
        </w:rPr>
        <w:t>为保证工程实施的顺利进行，便于项目实施过程中甲乙双方的沟通和配合，在系统建设实施以前，用户方技术人员以及客户代表必须具备一定的技术水平和项目管理知识。</w:t>
      </w:r>
    </w:p>
    <w:p w14:paraId="20BEEE02">
      <w:pPr>
        <w:rPr>
          <w:rFonts w:hint="eastAsia"/>
        </w:rPr>
      </w:pPr>
      <w:r>
        <w:rPr>
          <w:rFonts w:hint="eastAsia"/>
        </w:rPr>
        <w:t>在实施系统服务过程结束时，为使客户能顺利接手该系统，用户方技术人员必须掌握所安装的各种产品、系统的有关安装、设置、管理、使用和客户化等方面的技术。</w:t>
      </w:r>
    </w:p>
    <w:p w14:paraId="644E3438">
      <w:pPr>
        <w:rPr>
          <w:rFonts w:hint="eastAsia"/>
        </w:rPr>
      </w:pPr>
      <w:r>
        <w:rPr>
          <w:rFonts w:hint="eastAsia"/>
        </w:rPr>
        <w:t>因此，在项目实施之前以及在项目实施完毕后各进行一次集中培训，分别称之为基础培训和移交培训。</w:t>
      </w:r>
    </w:p>
    <w:p w14:paraId="758BD079">
      <w:pPr>
        <w:rPr>
          <w:rFonts w:hint="eastAsia"/>
        </w:rPr>
      </w:pPr>
      <w:r>
        <w:rPr>
          <w:rFonts w:hint="eastAsia"/>
        </w:rPr>
        <w:t>基础培训：在系统实施服务开始前，承建单位将为客户提供有关系统体系结构、产品类别和选择、产品体系结构、产品功能以及项目管理等方面的培训。</w:t>
      </w:r>
    </w:p>
    <w:p w14:paraId="6DA60885">
      <w:pPr>
        <w:rPr>
          <w:rFonts w:hint="eastAsia"/>
        </w:rPr>
      </w:pPr>
      <w:r>
        <w:rPr>
          <w:rFonts w:hint="eastAsia"/>
        </w:rPr>
        <w:t>移交培训：在系统实施服务过程结束时，承建单位将为客户提供针对所安装的各种产品、系统的有关安装、设置、管理、使用和客户化等方面的现场培训，目的是使客户能顺利接手该系统。</w:t>
      </w:r>
    </w:p>
    <w:p w14:paraId="79C3597B">
      <w:pPr>
        <w:pStyle w:val="5"/>
        <w:tabs>
          <w:tab w:val="left" w:pos="0"/>
          <w:tab w:val="left" w:pos="720"/>
        </w:tabs>
        <w:rPr>
          <w:rFonts w:hint="eastAsia"/>
        </w:rPr>
      </w:pPr>
      <w:bookmarkStart w:id="134" w:name="_Toc169189850"/>
      <w:bookmarkStart w:id="135" w:name="_Toc228651158"/>
      <w:bookmarkStart w:id="136" w:name="_Toc215915862"/>
      <w:bookmarkStart w:id="137" w:name="_Toc158029185"/>
      <w:bookmarkStart w:id="138" w:name="_Toc151021736"/>
      <w:bookmarkStart w:id="139" w:name="_Toc30186"/>
      <w:bookmarkStart w:id="140" w:name="_Toc235417860"/>
      <w:bookmarkStart w:id="141" w:name="_Toc151111750"/>
      <w:bookmarkStart w:id="142" w:name="_Toc85530556"/>
      <w:bookmarkStart w:id="143" w:name="_Toc169193447"/>
      <w:bookmarkStart w:id="144" w:name="_Toc271011264"/>
      <w:bookmarkStart w:id="145" w:name="_Toc91606845"/>
      <w:bookmarkStart w:id="146" w:name="_Toc298742636"/>
      <w:bookmarkStart w:id="147" w:name="_Toc298761609"/>
      <w:bookmarkStart w:id="148" w:name="_Toc169190559"/>
      <w:bookmarkStart w:id="149" w:name="_Toc168977027"/>
      <w:bookmarkStart w:id="150" w:name="_Toc89856645"/>
      <w:r>
        <w:rPr>
          <w:rFonts w:hint="eastAsia"/>
        </w:rPr>
        <w:t>现场培训</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6C932D5E">
      <w:pPr>
        <w:rPr>
          <w:rFonts w:hint="eastAsia"/>
        </w:rPr>
      </w:pPr>
      <w:r>
        <w:rPr>
          <w:rFonts w:hint="eastAsia"/>
        </w:rPr>
        <w:t>现场培训是项目实施过程中重要组成部分。现场培训将在用户指定设备安装地点进行，具体内容包括：</w:t>
      </w:r>
    </w:p>
    <w:p w14:paraId="152BEFC6">
      <w:pPr>
        <w:rPr>
          <w:rFonts w:hint="eastAsia"/>
        </w:rPr>
      </w:pPr>
      <w:r>
        <w:rPr>
          <w:rFonts w:hint="eastAsia"/>
        </w:rPr>
        <w:t>结合系统实施现场的实际情况，介绍设备安装、调试的方法；</w:t>
      </w:r>
    </w:p>
    <w:p w14:paraId="406C6836">
      <w:pPr>
        <w:rPr>
          <w:rFonts w:hint="eastAsia"/>
        </w:rPr>
      </w:pPr>
      <w:r>
        <w:rPr>
          <w:rFonts w:hint="eastAsia"/>
        </w:rPr>
        <w:t>在承建单位专业工程人员的指导下，用户方可以直接参与设备安装和调试工作；</w:t>
      </w:r>
    </w:p>
    <w:p w14:paraId="5BAD4E7C">
      <w:pPr>
        <w:rPr>
          <w:rFonts w:hint="eastAsia"/>
        </w:rPr>
      </w:pPr>
      <w:r>
        <w:rPr>
          <w:rFonts w:hint="eastAsia"/>
        </w:rPr>
        <w:t>现场问题处理培训。</w:t>
      </w:r>
    </w:p>
    <w:p w14:paraId="7BE3A495">
      <w:pPr>
        <w:pStyle w:val="5"/>
        <w:tabs>
          <w:tab w:val="left" w:pos="0"/>
          <w:tab w:val="left" w:pos="720"/>
        </w:tabs>
        <w:rPr>
          <w:rFonts w:hint="eastAsia"/>
        </w:rPr>
      </w:pPr>
      <w:bookmarkStart w:id="151" w:name="_Toc169189851"/>
      <w:bookmarkStart w:id="152" w:name="_Toc158029186"/>
      <w:bookmarkStart w:id="153" w:name="_Toc89856646"/>
      <w:bookmarkStart w:id="154" w:name="_Toc235417861"/>
      <w:bookmarkStart w:id="155" w:name="_Toc151021737"/>
      <w:bookmarkStart w:id="156" w:name="_Toc20118"/>
      <w:bookmarkStart w:id="157" w:name="_Toc85530557"/>
      <w:bookmarkStart w:id="158" w:name="_Toc151111751"/>
      <w:bookmarkStart w:id="159" w:name="_Toc298761610"/>
      <w:bookmarkStart w:id="160" w:name="_Toc91606846"/>
      <w:bookmarkStart w:id="161" w:name="_Toc228651159"/>
      <w:bookmarkStart w:id="162" w:name="_Toc169190560"/>
      <w:bookmarkStart w:id="163" w:name="_Toc169193448"/>
      <w:bookmarkStart w:id="164" w:name="_Toc271011265"/>
      <w:bookmarkStart w:id="165" w:name="_Toc168977028"/>
      <w:bookmarkStart w:id="166" w:name="_Toc298742637"/>
      <w:bookmarkStart w:id="167" w:name="_Toc215915863"/>
      <w:r>
        <w:rPr>
          <w:rFonts w:hint="eastAsia"/>
        </w:rPr>
        <w:t>网络培训</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3E51865D">
      <w:pPr>
        <w:rPr>
          <w:rFonts w:hint="eastAsia"/>
        </w:rPr>
      </w:pPr>
      <w:r>
        <w:rPr>
          <w:rFonts w:hint="eastAsia"/>
        </w:rPr>
        <w:t>项目实施中进行的集中和现场培训，旨在使用户迅速具备系统的操作、调试和维护的基本能力。对技术队伍的培训和技术人员之间的交流日常化、随时化，使技术人员随时保持对新技术的跟踪和认知能力，不断在培训中和交流中更新、强化和深化自身技术能力。</w:t>
      </w:r>
    </w:p>
    <w:p w14:paraId="7F9A0917">
      <w:pPr>
        <w:rPr>
          <w:rFonts w:hint="eastAsia"/>
        </w:rPr>
      </w:pPr>
      <w:r>
        <w:rPr>
          <w:rFonts w:hint="eastAsia"/>
        </w:rPr>
        <w:t>由于成本和时间原因，在日常工作中，采用传统的培训方式保持对技术人员日常化、随时化的培训和交流是难以实现的。为解决这一问题，建议承建单位通过网络化的培训来解决问题。将把集中培训和现场培训中的内容等制作成多媒体课件形式。用户方技术人员人可以通过网络随时、随地通过课件进行学习。</w:t>
      </w:r>
    </w:p>
    <w:p w14:paraId="4F33B6C1">
      <w:pPr>
        <w:pStyle w:val="5"/>
        <w:tabs>
          <w:tab w:val="left" w:pos="0"/>
          <w:tab w:val="left" w:pos="720"/>
        </w:tabs>
        <w:rPr>
          <w:rFonts w:hint="eastAsia"/>
        </w:rPr>
      </w:pPr>
      <w:bookmarkStart w:id="168" w:name="_Toc85530558"/>
      <w:bookmarkStart w:id="169" w:name="_Toc151021738"/>
      <w:bookmarkStart w:id="170" w:name="_Toc3095"/>
      <w:bookmarkStart w:id="171" w:name="_Toc89856647"/>
      <w:bookmarkStart w:id="172" w:name="_Toc91606847"/>
      <w:bookmarkStart w:id="173" w:name="_Toc151111752"/>
      <w:r>
        <w:rPr>
          <w:rFonts w:hint="eastAsia"/>
        </w:rPr>
        <w:t>培训考核</w:t>
      </w:r>
      <w:bookmarkEnd w:id="168"/>
      <w:bookmarkEnd w:id="169"/>
      <w:bookmarkEnd w:id="170"/>
      <w:bookmarkEnd w:id="171"/>
      <w:bookmarkEnd w:id="172"/>
      <w:bookmarkEnd w:id="173"/>
    </w:p>
    <w:p w14:paraId="75787638">
      <w:pPr>
        <w:pStyle w:val="28"/>
        <w:rPr>
          <w:rFonts w:hint="eastAsia"/>
        </w:rPr>
      </w:pPr>
      <w:r>
        <w:rPr>
          <w:rFonts w:hint="eastAsia"/>
        </w:rPr>
        <w:t>为保证最终的学习效果，建议为每一期培训班布置考试题目，以验收学员的学习成果，保证培训质量。</w:t>
      </w:r>
    </w:p>
    <w:p w14:paraId="72DF607A">
      <w:pPr>
        <w:pStyle w:val="4"/>
        <w:tabs>
          <w:tab w:val="left" w:pos="0"/>
          <w:tab w:val="left" w:pos="718"/>
          <w:tab w:val="clear" w:pos="420"/>
        </w:tabs>
        <w:rPr>
          <w:rFonts w:hint="eastAsia"/>
        </w:rPr>
      </w:pPr>
      <w:bookmarkStart w:id="174" w:name="_Toc297822806"/>
      <w:bookmarkStart w:id="175" w:name="_Toc400739474"/>
      <w:bookmarkStart w:id="176" w:name="_Toc32760"/>
      <w:bookmarkStart w:id="177" w:name="_Toc228651160"/>
      <w:bookmarkStart w:id="178" w:name="_Toc151021739"/>
      <w:bookmarkStart w:id="179" w:name="_Toc271011266"/>
      <w:bookmarkStart w:id="180" w:name="_Toc151111753"/>
      <w:bookmarkStart w:id="181" w:name="_Toc85530559"/>
      <w:bookmarkStart w:id="182" w:name="_Toc276385371"/>
      <w:bookmarkStart w:id="183" w:name="_Toc91606848"/>
      <w:bookmarkStart w:id="184" w:name="_Toc176791490"/>
      <w:bookmarkStart w:id="185" w:name="_Toc89856648"/>
      <w:bookmarkStart w:id="186" w:name="_Toc235417862"/>
      <w:bookmarkStart w:id="187" w:name="_Toc226951308"/>
      <w:r>
        <w:rPr>
          <w:rFonts w:hint="eastAsia"/>
        </w:rPr>
        <w:t>培训内容</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287CE402">
      <w:pPr>
        <w:pStyle w:val="28"/>
        <w:rPr>
          <w:rFonts w:hint="eastAsia"/>
        </w:rPr>
      </w:pPr>
      <w:r>
        <w:rPr>
          <w:rFonts w:hint="eastAsia"/>
        </w:rPr>
        <w:t>培训的内容应包括对项目相关业务应用系统的管理、操作、运维，主要侧重于对业务应用系统使用及系统的基本维护、常见问题及解决办法等，并提供实践性的操作，旨在使受训者熟悉平台系统设计的思路，掌握平台的操作和维护等。</w:t>
      </w:r>
    </w:p>
    <w:p w14:paraId="103A8495">
      <w:pPr>
        <w:pStyle w:val="28"/>
        <w:rPr>
          <w:rFonts w:hint="eastAsia"/>
        </w:rPr>
      </w:pPr>
      <w:r>
        <w:rPr>
          <w:rFonts w:hint="eastAsia"/>
        </w:rPr>
        <w:t>按培训的目的和对象不同，本项目中主要包括的培训，可分为两个类别的培训，依次为：系统操作及管理培训、系统技术及管理培训。</w:t>
      </w:r>
    </w:p>
    <w:p w14:paraId="165B872D">
      <w:pPr>
        <w:pStyle w:val="28"/>
        <w:rPr>
          <w:rFonts w:hint="eastAsia"/>
        </w:rPr>
      </w:pPr>
      <w:r>
        <w:rPr>
          <w:rFonts w:hint="eastAsia"/>
        </w:rPr>
        <w:t>系统操作及管理培训：对管理人员、系统应用人员的培训，主要包括分功能、分步骤地完成本系统的全部管理、应用的培训，使相关人员能独立、熟练地操作系统完成相关业务。</w:t>
      </w:r>
    </w:p>
    <w:p w14:paraId="68CF31C3">
      <w:pPr>
        <w:rPr>
          <w:rFonts w:hint="eastAsia"/>
        </w:rPr>
      </w:pPr>
      <w:r>
        <w:rPr>
          <w:rFonts w:hint="eastAsia"/>
        </w:rPr>
        <w:t>系统技术及管理培训：对管理人员、系统维护人员的培训，主要包括各业务系统的安装调试、配置、升级、使用系统的初始化和操作应用、人员角色基础信息的录入和功能权限配置、系统监控分析优化、系统日常运维、系统紧急故障处理和系统灾备及恢复、系统接口交互等。</w:t>
      </w:r>
    </w:p>
    <w:p w14:paraId="6B715884">
      <w:pPr>
        <w:ind w:firstLine="0" w:firstLineChars="0"/>
        <w:jc w:val="center"/>
        <w:rPr>
          <w:rFonts w:hint="eastAsia"/>
        </w:rPr>
      </w:pPr>
      <w:r>
        <w:rPr>
          <w:rFonts w:hint="eastAsia"/>
        </w:rPr>
        <w:t xml:space="preserve">表 </w:t>
      </w:r>
      <w:r>
        <w:rPr>
          <w:rFonts w:hint="eastAsia"/>
        </w:rPr>
        <w:fldChar w:fldCharType="begin"/>
      </w:r>
      <w:r>
        <w:rPr>
          <w:rFonts w:hint="eastAsia"/>
        </w:rPr>
        <w:instrText xml:space="preserve"> STYLEREF 1 \s </w:instrText>
      </w:r>
      <w:r>
        <w:rPr>
          <w:rFonts w:hint="eastAsia"/>
        </w:rPr>
        <w:fldChar w:fldCharType="separate"/>
      </w:r>
      <w:r>
        <w:rPr>
          <w:rFonts w:hint="eastAsia"/>
        </w:rPr>
        <w:t>7</w:t>
      </w:r>
      <w:r>
        <w:rPr>
          <w:rFonts w:hint="eastAsia"/>
        </w:rPr>
        <w:fldChar w:fldCharType="end"/>
      </w:r>
      <w:r>
        <w:rPr>
          <w:rFonts w:hint="eastAsia"/>
        </w:rPr>
        <w:t>-</w:t>
      </w:r>
      <w:r>
        <w:rPr>
          <w:rFonts w:hint="eastAsia"/>
        </w:rPr>
        <w:fldChar w:fldCharType="begin"/>
      </w:r>
      <w:r>
        <w:rPr>
          <w:rFonts w:hint="eastAsia"/>
        </w:rPr>
        <w:instrText xml:space="preserve"> SEQ 表 \* ARABIC \s 1 </w:instrText>
      </w:r>
      <w:r>
        <w:rPr>
          <w:rFonts w:hint="eastAsia"/>
        </w:rPr>
        <w:fldChar w:fldCharType="separate"/>
      </w:r>
      <w:r>
        <w:rPr>
          <w:rFonts w:hint="eastAsia"/>
        </w:rPr>
        <w:t>1</w:t>
      </w:r>
      <w:r>
        <w:rPr>
          <w:rFonts w:hint="eastAsia"/>
        </w:rPr>
        <w:fldChar w:fldCharType="end"/>
      </w:r>
      <w:r>
        <w:rPr>
          <w:rFonts w:hint="eastAsia"/>
          <w:b/>
          <w:bCs/>
          <w:color w:val="000000" w:themeColor="text1"/>
          <w14:textFill>
            <w14:solidFill>
              <w14:schemeClr w14:val="tx1"/>
            </w14:solidFill>
          </w14:textFill>
        </w:rPr>
        <w:t>人员培训计划表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2117"/>
        <w:gridCol w:w="1476"/>
        <w:gridCol w:w="1421"/>
        <w:gridCol w:w="1421"/>
      </w:tblGrid>
      <w:tr w14:paraId="6409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vAlign w:val="center"/>
          </w:tcPr>
          <w:p w14:paraId="5C34232A">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序号</w:t>
            </w:r>
          </w:p>
        </w:tc>
        <w:tc>
          <w:tcPr>
            <w:tcW w:w="748" w:type="pct"/>
            <w:vAlign w:val="center"/>
          </w:tcPr>
          <w:p w14:paraId="7A49C3A6">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培训项目</w:t>
            </w:r>
          </w:p>
        </w:tc>
        <w:tc>
          <w:tcPr>
            <w:tcW w:w="1241" w:type="pct"/>
            <w:vAlign w:val="center"/>
          </w:tcPr>
          <w:p w14:paraId="4D661423">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培训内容</w:t>
            </w:r>
          </w:p>
        </w:tc>
        <w:tc>
          <w:tcPr>
            <w:tcW w:w="865" w:type="pct"/>
            <w:vAlign w:val="center"/>
          </w:tcPr>
          <w:p w14:paraId="79D2356A">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培训对象</w:t>
            </w:r>
          </w:p>
        </w:tc>
        <w:tc>
          <w:tcPr>
            <w:tcW w:w="833" w:type="pct"/>
            <w:vAlign w:val="center"/>
          </w:tcPr>
          <w:p w14:paraId="7FF55912">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培训方式</w:t>
            </w:r>
          </w:p>
        </w:tc>
        <w:tc>
          <w:tcPr>
            <w:tcW w:w="833" w:type="pct"/>
            <w:vAlign w:val="center"/>
          </w:tcPr>
          <w:p w14:paraId="5CBC238D">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培训效果</w:t>
            </w:r>
          </w:p>
        </w:tc>
      </w:tr>
      <w:tr w14:paraId="08D6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vAlign w:val="center"/>
          </w:tcPr>
          <w:p w14:paraId="57E29AB4">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1</w:t>
            </w:r>
          </w:p>
        </w:tc>
        <w:tc>
          <w:tcPr>
            <w:tcW w:w="748" w:type="pct"/>
            <w:vAlign w:val="center"/>
          </w:tcPr>
          <w:p w14:paraId="284C259D">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系统操作及管理培训</w:t>
            </w:r>
          </w:p>
        </w:tc>
        <w:tc>
          <w:tcPr>
            <w:tcW w:w="1241" w:type="pct"/>
            <w:vAlign w:val="center"/>
          </w:tcPr>
          <w:p w14:paraId="08932D51">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系统功能操作、系统应用</w:t>
            </w:r>
          </w:p>
        </w:tc>
        <w:tc>
          <w:tcPr>
            <w:tcW w:w="865" w:type="pct"/>
            <w:vAlign w:val="center"/>
          </w:tcPr>
          <w:p w14:paraId="674FFDD8">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管理人员、系统业务人员、系统使用人员</w:t>
            </w:r>
          </w:p>
        </w:tc>
        <w:tc>
          <w:tcPr>
            <w:tcW w:w="833" w:type="pct"/>
            <w:vAlign w:val="center"/>
          </w:tcPr>
          <w:p w14:paraId="2DD55D54">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培训教材+授课+练习考核</w:t>
            </w:r>
          </w:p>
        </w:tc>
        <w:tc>
          <w:tcPr>
            <w:tcW w:w="833" w:type="pct"/>
            <w:vAlign w:val="center"/>
          </w:tcPr>
          <w:p w14:paraId="6A9EFD1A">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使相关人员能独立、熟练地操作系统完成相关业务。</w:t>
            </w:r>
          </w:p>
        </w:tc>
      </w:tr>
      <w:tr w14:paraId="051E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vAlign w:val="center"/>
          </w:tcPr>
          <w:p w14:paraId="2FC32D80">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2</w:t>
            </w:r>
          </w:p>
        </w:tc>
        <w:tc>
          <w:tcPr>
            <w:tcW w:w="748" w:type="pct"/>
            <w:vAlign w:val="center"/>
          </w:tcPr>
          <w:p w14:paraId="2ECF5971">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系统技术及管理培训</w:t>
            </w:r>
          </w:p>
        </w:tc>
        <w:tc>
          <w:tcPr>
            <w:tcW w:w="1241" w:type="pct"/>
            <w:vAlign w:val="center"/>
          </w:tcPr>
          <w:p w14:paraId="27FF89DD">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系统的的安装调试、配置、升级、使用系统的初始化和操作应用、人员角色基础信息的录入和功能权限配置、系统监控分析优化、系统日常运维、系统紧急故障处理等</w:t>
            </w:r>
          </w:p>
        </w:tc>
        <w:tc>
          <w:tcPr>
            <w:tcW w:w="865" w:type="pct"/>
            <w:vAlign w:val="center"/>
          </w:tcPr>
          <w:p w14:paraId="2BAEEE0B">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管理人员、系统维护人员</w:t>
            </w:r>
          </w:p>
        </w:tc>
        <w:tc>
          <w:tcPr>
            <w:tcW w:w="833" w:type="pct"/>
            <w:vAlign w:val="center"/>
          </w:tcPr>
          <w:p w14:paraId="6FF56CE5">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培训教材+授课+练习考核</w:t>
            </w:r>
          </w:p>
        </w:tc>
        <w:tc>
          <w:tcPr>
            <w:tcW w:w="833" w:type="pct"/>
            <w:vAlign w:val="center"/>
          </w:tcPr>
          <w:p w14:paraId="71FAAE16">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掌握常规的系统技术，能调试、配置等运行维护，能处理系统日常的故障和维护</w:t>
            </w:r>
          </w:p>
        </w:tc>
      </w:tr>
    </w:tbl>
    <w:p w14:paraId="7A3C2BD8">
      <w:pPr>
        <w:rPr>
          <w:rFonts w:hint="eastAsia"/>
        </w:rPr>
      </w:pPr>
    </w:p>
    <w:p w14:paraId="6E522861">
      <w:pPr>
        <w:pStyle w:val="3"/>
        <w:rPr>
          <w:rFonts w:hint="eastAsia"/>
        </w:rPr>
      </w:pPr>
      <w:bookmarkStart w:id="188" w:name="_Toc176791491"/>
      <w:r>
        <w:rPr>
          <w:rFonts w:hint="eastAsia"/>
        </w:rPr>
        <w:t>项目实施进度</w:t>
      </w:r>
      <w:bookmarkEnd w:id="188"/>
    </w:p>
    <w:p w14:paraId="1D2B2E3F">
      <w:pPr>
        <w:pStyle w:val="12"/>
        <w:ind w:firstLine="520"/>
        <w:rPr>
          <w:rFonts w:hint="eastAsia"/>
        </w:rPr>
      </w:pPr>
      <w:r>
        <w:rPr>
          <w:rFonts w:hint="eastAsia"/>
        </w:rPr>
        <w:t>本次信息化建设项目建设的实施分为以下三个阶段：</w:t>
      </w:r>
    </w:p>
    <w:p w14:paraId="0249240B">
      <w:pPr>
        <w:pStyle w:val="12"/>
        <w:ind w:firstLine="520"/>
        <w:rPr>
          <w:rFonts w:hint="eastAsia"/>
        </w:rPr>
      </w:pPr>
      <w:r>
        <w:rPr>
          <w:rFonts w:hint="eastAsia"/>
        </w:rPr>
        <w:t>第一阶段：项目建设的准备阶段</w:t>
      </w:r>
    </w:p>
    <w:p w14:paraId="4EED0159">
      <w:pPr>
        <w:pStyle w:val="12"/>
        <w:ind w:firstLine="520"/>
        <w:rPr>
          <w:rFonts w:hint="eastAsia"/>
        </w:rPr>
      </w:pPr>
      <w:r>
        <w:rPr>
          <w:rFonts w:hint="eastAsia"/>
        </w:rPr>
        <w:t>项目建设的准备阶段，主要是一系列前期准备工作的完成。包括全省、市、区同类项目考察、资料的收集和调研、项目建议书和可研报告的拟定、各项信息系统需求的确定、专家评审、项目建设经费的来源以及项目建设期限的确立等。</w:t>
      </w:r>
    </w:p>
    <w:p w14:paraId="46171687">
      <w:pPr>
        <w:pStyle w:val="12"/>
        <w:ind w:firstLine="520"/>
        <w:rPr>
          <w:rFonts w:hint="eastAsia"/>
        </w:rPr>
      </w:pPr>
      <w:r>
        <w:rPr>
          <w:rFonts w:hint="eastAsia"/>
        </w:rPr>
        <w:t>第二阶段：项目建设的确立</w:t>
      </w:r>
    </w:p>
    <w:p w14:paraId="15351B3A">
      <w:pPr>
        <w:pStyle w:val="12"/>
        <w:ind w:firstLine="520"/>
        <w:rPr>
          <w:rFonts w:hint="eastAsia"/>
        </w:rPr>
      </w:pPr>
      <w:r>
        <w:rPr>
          <w:rFonts w:hint="eastAsia"/>
        </w:rPr>
        <w:t>本阶段的工作内容主要包括项目建设方案设计、项目招标、承建单位等。</w:t>
      </w:r>
    </w:p>
    <w:p w14:paraId="6B212178">
      <w:pPr>
        <w:pStyle w:val="12"/>
        <w:ind w:firstLine="520"/>
        <w:rPr>
          <w:rFonts w:hint="eastAsia"/>
        </w:rPr>
      </w:pPr>
      <w:r>
        <w:rPr>
          <w:rFonts w:hint="eastAsia"/>
        </w:rPr>
        <w:t>第三阶段：项目的实施</w:t>
      </w:r>
    </w:p>
    <w:p w14:paraId="3732070A">
      <w:pPr>
        <w:rPr>
          <w:rFonts w:hint="eastAsia"/>
        </w:rPr>
      </w:pPr>
      <w:r>
        <w:rPr>
          <w:rFonts w:hint="eastAsia"/>
        </w:rPr>
        <w:t>本阶段为项目建设的实施阶段，工作内容包括了项目建设合同和监理合同的签署，信息系统分批建设、验收申请及竣工交付使用等。</w:t>
      </w:r>
    </w:p>
    <w:p w14:paraId="4E6DC0B7">
      <w:pPr>
        <w:pStyle w:val="12"/>
        <w:ind w:firstLine="520"/>
        <w:rPr>
          <w:rFonts w:hint="eastAsia"/>
        </w:rPr>
      </w:pPr>
      <w:r>
        <w:rPr>
          <w:rFonts w:hint="eastAsia"/>
        </w:rPr>
        <w:t>第四阶段：项目的验收审计</w:t>
      </w:r>
    </w:p>
    <w:p w14:paraId="72886717">
      <w:pPr>
        <w:pStyle w:val="2"/>
        <w:rPr>
          <w:rFonts w:hint="eastAsia"/>
        </w:rPr>
      </w:pPr>
      <w:r>
        <w:rPr>
          <w:rFonts w:hint="eastAsia"/>
        </w:rPr>
        <w:t>本阶段为项目建设的验收审计阶段，要点涉及是否按规定程序和要求组织验收，</w:t>
      </w:r>
      <w:r>
        <w:rPr>
          <w:rFonts w:hint="eastAsia" w:ascii="仿宋" w:hAnsi="仿宋" w:cs="仿宋"/>
        </w:rPr>
        <w:t>检查有关手续是否齐全，以及是否按要求开展各子项专业验收。需审查合同履行是否全面、真实，有无违约行为等。</w:t>
      </w:r>
    </w:p>
    <w:p w14:paraId="07555663">
      <w:pPr>
        <w:pStyle w:val="3"/>
        <w:rPr>
          <w:rFonts w:hint="eastAsia"/>
        </w:rPr>
      </w:pPr>
      <w:bookmarkStart w:id="189" w:name="_Toc176791492"/>
      <w:r>
        <w:rPr>
          <w:rFonts w:hint="eastAsia"/>
        </w:rPr>
        <w:t>项目风险分析</w:t>
      </w:r>
      <w:bookmarkEnd w:id="189"/>
    </w:p>
    <w:p w14:paraId="46D41A42">
      <w:pPr>
        <w:pStyle w:val="4"/>
        <w:rPr>
          <w:rFonts w:hint="eastAsia"/>
        </w:rPr>
      </w:pPr>
      <w:bookmarkStart w:id="190" w:name="_Toc459905901"/>
      <w:bookmarkStart w:id="191" w:name="_Toc142382578"/>
      <w:bookmarkStart w:id="192" w:name="_Toc495576929"/>
      <w:bookmarkStart w:id="193" w:name="_Toc459906039"/>
      <w:bookmarkStart w:id="194" w:name="_Toc499910810"/>
      <w:bookmarkStart w:id="195" w:name="_Toc176791493"/>
      <w:bookmarkStart w:id="196" w:name="_Toc22431"/>
      <w:r>
        <w:rPr>
          <w:rFonts w:hint="eastAsia"/>
        </w:rPr>
        <w:t>协调风险及控制</w:t>
      </w:r>
      <w:bookmarkEnd w:id="190"/>
      <w:bookmarkEnd w:id="191"/>
      <w:bookmarkEnd w:id="192"/>
      <w:bookmarkEnd w:id="193"/>
      <w:bookmarkEnd w:id="194"/>
      <w:bookmarkEnd w:id="195"/>
      <w:bookmarkEnd w:id="196"/>
    </w:p>
    <w:p w14:paraId="60C2BE1D">
      <w:pPr>
        <w:rPr>
          <w:rFonts w:hint="eastAsia"/>
          <w:szCs w:val="24"/>
        </w:rPr>
      </w:pPr>
      <w:r>
        <w:rPr>
          <w:rFonts w:hint="eastAsia"/>
          <w:szCs w:val="24"/>
        </w:rPr>
        <w:t>由于医院信息化建设项目涉及到门诊科、信息科、医务科、护理科等科室之间的业务协同，且它们分布在不同的业务部门，因此处理各自的工作时出现不统一的工作节奏，因此要建设统一模式，需要协调各个相关部门，统一认识。</w:t>
      </w:r>
    </w:p>
    <w:p w14:paraId="0E6E244E">
      <w:pPr>
        <w:rPr>
          <w:rFonts w:hint="eastAsia"/>
          <w:szCs w:val="24"/>
        </w:rPr>
      </w:pPr>
      <w:r>
        <w:rPr>
          <w:rFonts w:hint="eastAsia"/>
          <w:szCs w:val="24"/>
        </w:rPr>
        <w:t>医院信息化建设项目是为重庆市市民提供健康、医疗服务的，要求动员和依靠医管局及兄弟单位方方面面的力量来共同完成。因此领导必须重视，规章制度要健全。由于工作牵涉的单位多、部门杂，实现统一集中运作，需要各联动单位积极响应，希望用户单位牵头召开有关会议，进行组织协调工作，在技术集群、人员集中、集成管理等方面统一思想，形成共识，为实现“通过医疗信息化建设，加强监管能力、提高决策水平和管理效能；优化医疗服务流程、降低运行成本、提高医疗服务质量、减轻市民就诊及医药费用负担；加强公共卫生应急处理能力。”的构想提供有力的思想和组织保障。</w:t>
      </w:r>
    </w:p>
    <w:p w14:paraId="31393A04">
      <w:pPr>
        <w:pStyle w:val="4"/>
        <w:rPr>
          <w:rFonts w:hint="eastAsia"/>
        </w:rPr>
      </w:pPr>
      <w:bookmarkStart w:id="197" w:name="_Toc495576928"/>
      <w:bookmarkStart w:id="198" w:name="_Toc459906038"/>
      <w:bookmarkStart w:id="199" w:name="_Toc176791494"/>
      <w:bookmarkStart w:id="200" w:name="_Toc459905900"/>
      <w:bookmarkStart w:id="201" w:name="_Toc499910811"/>
      <w:bookmarkStart w:id="202" w:name="_Toc14156"/>
      <w:bookmarkStart w:id="203" w:name="_Toc142382579"/>
      <w:bookmarkStart w:id="204" w:name="_Toc495576930"/>
      <w:bookmarkStart w:id="205" w:name="_Toc459906041"/>
      <w:bookmarkStart w:id="206" w:name="_Toc459905903"/>
      <w:r>
        <w:rPr>
          <w:rFonts w:hint="eastAsia"/>
        </w:rPr>
        <w:t>项目技术风险控制</w:t>
      </w:r>
      <w:bookmarkEnd w:id="197"/>
      <w:bookmarkEnd w:id="198"/>
      <w:bookmarkEnd w:id="199"/>
      <w:bookmarkEnd w:id="200"/>
      <w:bookmarkEnd w:id="201"/>
      <w:bookmarkEnd w:id="202"/>
      <w:bookmarkEnd w:id="203"/>
    </w:p>
    <w:p w14:paraId="4AB3C1BB">
      <w:pPr>
        <w:rPr>
          <w:rFonts w:hint="eastAsia"/>
          <w:szCs w:val="24"/>
        </w:rPr>
      </w:pPr>
      <w:r>
        <w:rPr>
          <w:rFonts w:hint="eastAsia"/>
          <w:szCs w:val="24"/>
        </w:rPr>
        <w:t>医院信息化建设项目是一个跨学科、跨专业的综合系统工程，这一系统工程是以计算机网络系统、物联网平台为基础，以通信系统、云计算技术为纽带，以集成数据采集与交换、全数字化医疗临床信息应用和医院综合运营管理服务系统为技术支撑的技术综合体，因此技术发展给项目的建设带来一定的风险，避免系统投入使用，技术已落后的可能。由于不同地区、部门系统的设计理念及技术规范的不同，系统和硬件设计的不同，因此没有经过实际运行的技术，是可能存在技术风险。但我们在整体设计中尽可能使用较为成熟的技术，并部分开展物联网及虚拟化技术的应用，同时利用先进的</w:t>
      </w:r>
      <w:r>
        <w:rPr>
          <w:szCs w:val="24"/>
        </w:rPr>
        <w:t>ITSM</w:t>
      </w:r>
      <w:r>
        <w:rPr>
          <w:rFonts w:hint="eastAsia"/>
          <w:szCs w:val="24"/>
        </w:rPr>
        <w:t>技术运维管理系统的支持，是能够把握“稳中快跑、适度超前”的建设思路的，总体在技术风险上是可控、可规避的。</w:t>
      </w:r>
    </w:p>
    <w:p w14:paraId="696B1C3B">
      <w:pPr>
        <w:pStyle w:val="4"/>
        <w:rPr>
          <w:rFonts w:hint="eastAsia"/>
        </w:rPr>
      </w:pPr>
      <w:bookmarkStart w:id="207" w:name="_Toc23468"/>
      <w:bookmarkStart w:id="208" w:name="_Toc142382580"/>
      <w:bookmarkStart w:id="209" w:name="_Toc499910812"/>
      <w:bookmarkStart w:id="210" w:name="_Toc176791495"/>
      <w:r>
        <w:rPr>
          <w:rFonts w:hint="eastAsia"/>
        </w:rPr>
        <w:t>社会影响风险及控制</w:t>
      </w:r>
      <w:bookmarkEnd w:id="204"/>
      <w:bookmarkEnd w:id="205"/>
      <w:bookmarkEnd w:id="206"/>
      <w:bookmarkEnd w:id="207"/>
      <w:bookmarkEnd w:id="208"/>
      <w:bookmarkEnd w:id="209"/>
      <w:bookmarkEnd w:id="210"/>
    </w:p>
    <w:p w14:paraId="52519872">
      <w:pPr>
        <w:rPr>
          <w:rFonts w:hint="eastAsia"/>
          <w:szCs w:val="24"/>
        </w:rPr>
      </w:pPr>
      <w:r>
        <w:rPr>
          <w:rFonts w:hint="eastAsia"/>
          <w:szCs w:val="24"/>
        </w:rPr>
        <w:t>项目的参与单位对项目系统重要性认识不到位、服务意识不强、业务人员技术问题、网络发展不平衡，项目建设阶段的问题，都可能使医院智能化建设项目在社会各阶层造成不好的影响。</w:t>
      </w:r>
    </w:p>
    <w:p w14:paraId="0034456C">
      <w:pPr>
        <w:rPr>
          <w:rFonts w:hint="eastAsia"/>
          <w:szCs w:val="24"/>
        </w:rPr>
      </w:pPr>
      <w:r>
        <w:rPr>
          <w:rFonts w:hint="eastAsia"/>
          <w:szCs w:val="24"/>
        </w:rPr>
        <w:t>可以通过各种途径提高医院信息化建设项目在重庆市的认知率，为本项目工作创造良好的舆论氛围，项目相关单位成员结合本单位的实际情况，加强基本硬件建设，同时通过培训提高内部人员的实际工作能力。联动单位加强内部沟通，防止出现互相推倭，扯皮现象，这样才能提高联动系统在社会的影响力。</w:t>
      </w:r>
    </w:p>
    <w:p w14:paraId="44177F83">
      <w:pPr>
        <w:pStyle w:val="2"/>
        <w:rPr>
          <w:rFonts w:hint="eastAsia"/>
        </w:rPr>
        <w:sectPr>
          <w:pgSz w:w="11906" w:h="16838"/>
          <w:pgMar w:top="1440" w:right="1797" w:bottom="1440" w:left="1797" w:header="851" w:footer="992" w:gutter="0"/>
          <w:pgBorders>
            <w:top w:val="single" w:color="auto" w:sz="4" w:space="1"/>
            <w:bottom w:val="single" w:color="auto" w:sz="4" w:space="1"/>
          </w:pgBorders>
          <w:pgNumType w:start="1"/>
          <w:cols w:space="425" w:num="1"/>
          <w:docGrid w:type="lines" w:linePitch="312" w:charSpace="0"/>
        </w:sectPr>
      </w:pPr>
    </w:p>
    <w:p w14:paraId="3901EE59">
      <w:pPr>
        <w:pStyle w:val="3"/>
        <w:numPr>
          <w:ilvl w:val="0"/>
          <w:numId w:val="0"/>
        </w:numPr>
        <w:ind w:left="432"/>
        <w:rPr>
          <w:rFonts w:hint="eastAsia"/>
        </w:rPr>
      </w:pPr>
      <w:bookmarkStart w:id="211" w:name="_Toc176791496"/>
      <w:r>
        <w:rPr>
          <w:rFonts w:hint="eastAsia"/>
        </w:rPr>
        <w:t>附表1：项目软件配置清单及预算</w:t>
      </w:r>
      <w:bookmarkEnd w:id="211"/>
    </w:p>
    <w:p w14:paraId="7D7400F2">
      <w:pPr>
        <w:rPr>
          <w:rFonts w:hint="eastAsia"/>
          <w:szCs w:val="24"/>
        </w:rPr>
      </w:pPr>
      <w:r>
        <w:rPr>
          <w:rFonts w:hint="eastAsia"/>
          <w:szCs w:val="24"/>
        </w:rPr>
        <w:t>系统软件配置：</w:t>
      </w:r>
    </w:p>
    <w:tbl>
      <w:tblPr>
        <w:tblStyle w:val="29"/>
        <w:tblW w:w="3579"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2"/>
        <w:gridCol w:w="3690"/>
        <w:gridCol w:w="1275"/>
      </w:tblGrid>
      <w:tr w14:paraId="3FFCB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832" w:type="pct"/>
          </w:tcPr>
          <w:p w14:paraId="69479CDB">
            <w:pPr>
              <w:spacing w:before="123" w:line="221" w:lineRule="auto"/>
              <w:ind w:firstLine="0" w:firstLineChars="0"/>
              <w:jc w:val="center"/>
              <w:rPr>
                <w:rFonts w:hint="eastAsia"/>
                <w:szCs w:val="24"/>
              </w:rPr>
            </w:pPr>
            <w:r>
              <w:rPr>
                <w:szCs w:val="24"/>
              </w:rPr>
              <w:t>序号</w:t>
            </w:r>
          </w:p>
        </w:tc>
        <w:tc>
          <w:tcPr>
            <w:tcW w:w="3096" w:type="pct"/>
          </w:tcPr>
          <w:p w14:paraId="329D1E5C">
            <w:pPr>
              <w:spacing w:before="123" w:line="221" w:lineRule="auto"/>
              <w:ind w:firstLine="0" w:firstLineChars="0"/>
              <w:jc w:val="center"/>
              <w:rPr>
                <w:rFonts w:hint="eastAsia"/>
                <w:szCs w:val="24"/>
              </w:rPr>
            </w:pPr>
            <w:r>
              <w:rPr>
                <w:szCs w:val="24"/>
              </w:rPr>
              <w:t>名   称</w:t>
            </w:r>
          </w:p>
        </w:tc>
        <w:tc>
          <w:tcPr>
            <w:tcW w:w="1070" w:type="pct"/>
          </w:tcPr>
          <w:p w14:paraId="0D99EF11">
            <w:pPr>
              <w:spacing w:before="123" w:line="221" w:lineRule="auto"/>
              <w:ind w:firstLine="0" w:firstLineChars="0"/>
              <w:jc w:val="center"/>
              <w:rPr>
                <w:rFonts w:hint="eastAsia"/>
                <w:szCs w:val="24"/>
              </w:rPr>
            </w:pPr>
            <w:r>
              <w:rPr>
                <w:szCs w:val="24"/>
              </w:rPr>
              <w:t>数量</w:t>
            </w:r>
          </w:p>
        </w:tc>
      </w:tr>
      <w:tr w14:paraId="4D2C8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32" w:type="pct"/>
          </w:tcPr>
          <w:p w14:paraId="3D0FFABE">
            <w:pPr>
              <w:spacing w:before="123" w:line="219" w:lineRule="auto"/>
              <w:ind w:firstLine="0" w:firstLineChars="0"/>
              <w:jc w:val="center"/>
              <w:rPr>
                <w:rFonts w:hint="eastAsia"/>
                <w:szCs w:val="24"/>
              </w:rPr>
            </w:pPr>
            <w:r>
              <w:rPr>
                <w:szCs w:val="24"/>
              </w:rPr>
              <w:t>1</w:t>
            </w:r>
          </w:p>
        </w:tc>
        <w:tc>
          <w:tcPr>
            <w:tcW w:w="3096" w:type="pct"/>
          </w:tcPr>
          <w:p w14:paraId="7B6FBF39">
            <w:pPr>
              <w:spacing w:before="123" w:line="219" w:lineRule="auto"/>
              <w:ind w:firstLine="0" w:firstLineChars="0"/>
              <w:jc w:val="center"/>
              <w:rPr>
                <w:rFonts w:hint="eastAsia"/>
                <w:szCs w:val="24"/>
              </w:rPr>
            </w:pPr>
            <w:r>
              <w:rPr>
                <w:rFonts w:hint="eastAsia"/>
              </w:rPr>
              <w:t>输液监护管理系统软件</w:t>
            </w:r>
          </w:p>
        </w:tc>
        <w:tc>
          <w:tcPr>
            <w:tcW w:w="1070" w:type="pct"/>
          </w:tcPr>
          <w:p w14:paraId="3DC26D0F">
            <w:pPr>
              <w:spacing w:before="123" w:line="219" w:lineRule="auto"/>
              <w:ind w:firstLine="0" w:firstLineChars="0"/>
              <w:jc w:val="center"/>
              <w:rPr>
                <w:rFonts w:hint="eastAsia"/>
                <w:szCs w:val="24"/>
              </w:rPr>
            </w:pPr>
            <w:r>
              <w:rPr>
                <w:rFonts w:hint="eastAsia"/>
              </w:rPr>
              <w:t>1套</w:t>
            </w:r>
          </w:p>
        </w:tc>
      </w:tr>
      <w:tr w14:paraId="72999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32" w:type="pct"/>
          </w:tcPr>
          <w:p w14:paraId="02A58AF8">
            <w:pPr>
              <w:spacing w:before="123" w:line="219" w:lineRule="auto"/>
              <w:ind w:firstLine="0" w:firstLineChars="0"/>
              <w:jc w:val="center"/>
              <w:rPr>
                <w:rFonts w:hint="eastAsia"/>
                <w:szCs w:val="24"/>
              </w:rPr>
            </w:pPr>
            <w:r>
              <w:rPr>
                <w:szCs w:val="24"/>
              </w:rPr>
              <w:t>2</w:t>
            </w:r>
          </w:p>
        </w:tc>
        <w:tc>
          <w:tcPr>
            <w:tcW w:w="3096" w:type="pct"/>
            <w:vAlign w:val="center"/>
          </w:tcPr>
          <w:p w14:paraId="5F8BBC3C">
            <w:pPr>
              <w:spacing w:before="123" w:line="219" w:lineRule="auto"/>
              <w:ind w:firstLine="0" w:firstLineChars="0"/>
              <w:jc w:val="center"/>
              <w:rPr>
                <w:rFonts w:hint="eastAsia"/>
                <w:szCs w:val="24"/>
              </w:rPr>
            </w:pPr>
            <w:r>
              <w:rPr>
                <w:rFonts w:hint="eastAsia"/>
              </w:rPr>
              <w:t>输液监护器</w:t>
            </w:r>
          </w:p>
        </w:tc>
        <w:tc>
          <w:tcPr>
            <w:tcW w:w="1070" w:type="pct"/>
          </w:tcPr>
          <w:p w14:paraId="3233F236">
            <w:pPr>
              <w:spacing w:before="123" w:line="219" w:lineRule="auto"/>
              <w:ind w:firstLine="0" w:firstLineChars="0"/>
              <w:jc w:val="center"/>
              <w:rPr>
                <w:rFonts w:hint="eastAsia"/>
                <w:szCs w:val="24"/>
              </w:rPr>
            </w:pPr>
            <w:r>
              <w:rPr>
                <w:rFonts w:hint="eastAsia"/>
              </w:rPr>
              <w:t>15个</w:t>
            </w:r>
          </w:p>
        </w:tc>
      </w:tr>
      <w:tr w14:paraId="3CFFF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32" w:type="pct"/>
          </w:tcPr>
          <w:p w14:paraId="0FD0819F">
            <w:pPr>
              <w:spacing w:before="123" w:line="219" w:lineRule="auto"/>
              <w:ind w:firstLine="0" w:firstLineChars="0"/>
              <w:jc w:val="center"/>
              <w:rPr>
                <w:rFonts w:hint="eastAsia"/>
                <w:szCs w:val="24"/>
              </w:rPr>
            </w:pPr>
            <w:r>
              <w:rPr>
                <w:rFonts w:hint="eastAsia"/>
                <w:szCs w:val="24"/>
              </w:rPr>
              <w:t>3</w:t>
            </w:r>
          </w:p>
        </w:tc>
        <w:tc>
          <w:tcPr>
            <w:tcW w:w="3096" w:type="pct"/>
            <w:shd w:val="clear" w:color="auto" w:fill="auto"/>
            <w:vAlign w:val="center"/>
          </w:tcPr>
          <w:p w14:paraId="40934149">
            <w:pPr>
              <w:spacing w:before="123" w:line="219" w:lineRule="auto"/>
              <w:ind w:firstLine="0" w:firstLineChars="0"/>
              <w:jc w:val="center"/>
              <w:rPr>
                <w:rFonts w:hint="eastAsia"/>
              </w:rPr>
            </w:pPr>
            <w:r>
              <w:rPr>
                <w:rFonts w:hint="eastAsia"/>
              </w:rPr>
              <w:t>监护器充电架</w:t>
            </w:r>
          </w:p>
        </w:tc>
        <w:tc>
          <w:tcPr>
            <w:tcW w:w="1070" w:type="pct"/>
            <w:shd w:val="clear" w:color="auto" w:fill="FFFFFF"/>
            <w:vAlign w:val="center"/>
          </w:tcPr>
          <w:p w14:paraId="6BBAB707">
            <w:pPr>
              <w:widowControl/>
              <w:ind w:firstLine="0" w:firstLineChars="0"/>
              <w:jc w:val="center"/>
              <w:rPr>
                <w:rFonts w:hint="eastAsia"/>
              </w:rPr>
            </w:pPr>
            <w:r>
              <w:rPr>
                <w:rFonts w:hint="eastAsia"/>
              </w:rPr>
              <w:t>3个</w:t>
            </w:r>
          </w:p>
        </w:tc>
      </w:tr>
      <w:tr w14:paraId="104D8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32" w:type="pct"/>
          </w:tcPr>
          <w:p w14:paraId="01DD1980">
            <w:pPr>
              <w:spacing w:before="123" w:line="219" w:lineRule="auto"/>
              <w:ind w:firstLine="0" w:firstLineChars="0"/>
              <w:jc w:val="center"/>
              <w:rPr>
                <w:rFonts w:hint="eastAsia"/>
                <w:szCs w:val="24"/>
              </w:rPr>
            </w:pPr>
            <w:r>
              <w:rPr>
                <w:rFonts w:hint="eastAsia"/>
                <w:szCs w:val="24"/>
              </w:rPr>
              <w:t>4</w:t>
            </w:r>
          </w:p>
        </w:tc>
        <w:tc>
          <w:tcPr>
            <w:tcW w:w="3096" w:type="pct"/>
          </w:tcPr>
          <w:p w14:paraId="73FF0FB1">
            <w:pPr>
              <w:spacing w:before="123" w:line="219" w:lineRule="auto"/>
              <w:ind w:firstLine="0" w:firstLineChars="0"/>
              <w:jc w:val="center"/>
              <w:rPr>
                <w:rFonts w:hint="eastAsia"/>
              </w:rPr>
            </w:pPr>
            <w:r>
              <w:rPr>
                <w:rFonts w:hint="eastAsia"/>
              </w:rPr>
              <w:t>移动临床管理系统软件</w:t>
            </w:r>
          </w:p>
        </w:tc>
        <w:tc>
          <w:tcPr>
            <w:tcW w:w="1070" w:type="pct"/>
          </w:tcPr>
          <w:p w14:paraId="014098E7">
            <w:pPr>
              <w:spacing w:before="123" w:line="219" w:lineRule="auto"/>
              <w:ind w:firstLine="0" w:firstLineChars="0"/>
              <w:jc w:val="center"/>
              <w:rPr>
                <w:rFonts w:hint="eastAsia"/>
                <w:szCs w:val="24"/>
              </w:rPr>
            </w:pPr>
            <w:r>
              <w:rPr>
                <w:rFonts w:hint="eastAsia"/>
              </w:rPr>
              <w:t>1套</w:t>
            </w:r>
          </w:p>
        </w:tc>
      </w:tr>
      <w:tr w14:paraId="38429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32" w:type="pct"/>
          </w:tcPr>
          <w:p w14:paraId="4136A258">
            <w:pPr>
              <w:spacing w:before="123" w:line="219" w:lineRule="auto"/>
              <w:ind w:firstLine="0" w:firstLineChars="0"/>
              <w:jc w:val="center"/>
              <w:rPr>
                <w:rFonts w:hint="eastAsia"/>
                <w:szCs w:val="24"/>
              </w:rPr>
            </w:pPr>
            <w:r>
              <w:rPr>
                <w:rFonts w:hint="eastAsia"/>
                <w:szCs w:val="24"/>
              </w:rPr>
              <w:t>5</w:t>
            </w:r>
          </w:p>
        </w:tc>
        <w:tc>
          <w:tcPr>
            <w:tcW w:w="3096" w:type="pct"/>
          </w:tcPr>
          <w:p w14:paraId="4F628B9D">
            <w:pPr>
              <w:spacing w:before="123" w:line="219" w:lineRule="auto"/>
              <w:ind w:firstLine="0" w:firstLineChars="0"/>
              <w:jc w:val="center"/>
              <w:rPr>
                <w:rFonts w:hint="eastAsia"/>
              </w:rPr>
            </w:pPr>
            <w:r>
              <w:rPr>
                <w:rFonts w:hint="eastAsia"/>
              </w:rPr>
              <w:t>护士工作站</w:t>
            </w:r>
          </w:p>
        </w:tc>
        <w:tc>
          <w:tcPr>
            <w:tcW w:w="1070" w:type="pct"/>
          </w:tcPr>
          <w:p w14:paraId="2DC92F9A">
            <w:pPr>
              <w:spacing w:before="123" w:line="219" w:lineRule="auto"/>
              <w:ind w:firstLine="0" w:firstLineChars="0"/>
              <w:jc w:val="center"/>
              <w:rPr>
                <w:rFonts w:hint="eastAsia"/>
                <w:szCs w:val="24"/>
              </w:rPr>
            </w:pPr>
            <w:r>
              <w:rPr>
                <w:rFonts w:hint="eastAsia"/>
              </w:rPr>
              <w:t>15套</w:t>
            </w:r>
          </w:p>
        </w:tc>
      </w:tr>
      <w:tr w14:paraId="2867E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32" w:type="pct"/>
          </w:tcPr>
          <w:p w14:paraId="5E9DFE30">
            <w:pPr>
              <w:spacing w:before="123" w:line="219" w:lineRule="auto"/>
              <w:ind w:firstLine="0" w:firstLineChars="0"/>
              <w:jc w:val="center"/>
              <w:rPr>
                <w:rFonts w:hint="eastAsia"/>
                <w:szCs w:val="24"/>
              </w:rPr>
            </w:pPr>
            <w:r>
              <w:rPr>
                <w:rFonts w:hint="eastAsia"/>
                <w:szCs w:val="24"/>
              </w:rPr>
              <w:t>6</w:t>
            </w:r>
          </w:p>
        </w:tc>
        <w:tc>
          <w:tcPr>
            <w:tcW w:w="3096" w:type="pct"/>
          </w:tcPr>
          <w:p w14:paraId="3741C072">
            <w:pPr>
              <w:spacing w:before="123" w:line="219" w:lineRule="auto"/>
              <w:ind w:firstLine="0" w:firstLineChars="0"/>
              <w:jc w:val="center"/>
              <w:rPr>
                <w:rFonts w:hint="eastAsia"/>
                <w:szCs w:val="24"/>
              </w:rPr>
            </w:pPr>
            <w:r>
              <w:rPr>
                <w:rFonts w:hint="eastAsia"/>
              </w:rPr>
              <w:t>护理文书系统软件</w:t>
            </w:r>
          </w:p>
        </w:tc>
        <w:tc>
          <w:tcPr>
            <w:tcW w:w="1070" w:type="pct"/>
          </w:tcPr>
          <w:p w14:paraId="1648FF72">
            <w:pPr>
              <w:spacing w:before="123" w:line="219" w:lineRule="auto"/>
              <w:ind w:firstLine="0" w:firstLineChars="0"/>
              <w:jc w:val="center"/>
              <w:rPr>
                <w:rFonts w:hint="eastAsia"/>
                <w:szCs w:val="24"/>
              </w:rPr>
            </w:pPr>
            <w:r>
              <w:rPr>
                <w:rFonts w:hint="eastAsia"/>
              </w:rPr>
              <w:t>15套</w:t>
            </w:r>
          </w:p>
        </w:tc>
      </w:tr>
      <w:tr w14:paraId="19D51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32" w:type="pct"/>
          </w:tcPr>
          <w:p w14:paraId="56DF409E">
            <w:pPr>
              <w:spacing w:before="123" w:line="219" w:lineRule="auto"/>
              <w:ind w:firstLine="0" w:firstLineChars="0"/>
              <w:jc w:val="center"/>
              <w:rPr>
                <w:rFonts w:hint="eastAsia"/>
                <w:szCs w:val="24"/>
              </w:rPr>
            </w:pPr>
            <w:r>
              <w:rPr>
                <w:rFonts w:hint="eastAsia"/>
                <w:szCs w:val="24"/>
              </w:rPr>
              <w:t>7</w:t>
            </w:r>
          </w:p>
        </w:tc>
        <w:tc>
          <w:tcPr>
            <w:tcW w:w="3096" w:type="pct"/>
          </w:tcPr>
          <w:p w14:paraId="3065A211">
            <w:pPr>
              <w:spacing w:before="123" w:line="219" w:lineRule="auto"/>
              <w:ind w:firstLine="0" w:firstLineChars="0"/>
              <w:jc w:val="center"/>
              <w:rPr>
                <w:rFonts w:hint="eastAsia"/>
                <w:szCs w:val="24"/>
              </w:rPr>
            </w:pPr>
            <w:r>
              <w:rPr>
                <w:rFonts w:hint="eastAsia"/>
              </w:rPr>
              <w:t>电子白板系统</w:t>
            </w:r>
          </w:p>
        </w:tc>
        <w:tc>
          <w:tcPr>
            <w:tcW w:w="1070" w:type="pct"/>
          </w:tcPr>
          <w:p w14:paraId="2B6241C8">
            <w:pPr>
              <w:spacing w:before="123" w:line="219" w:lineRule="auto"/>
              <w:ind w:firstLine="0" w:firstLineChars="0"/>
              <w:jc w:val="center"/>
              <w:rPr>
                <w:rFonts w:hint="eastAsia"/>
                <w:szCs w:val="24"/>
              </w:rPr>
            </w:pPr>
            <w:r>
              <w:rPr>
                <w:rFonts w:hint="eastAsia"/>
              </w:rPr>
              <w:t>1套</w:t>
            </w:r>
          </w:p>
        </w:tc>
      </w:tr>
      <w:tr w14:paraId="7CEFE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32" w:type="pct"/>
          </w:tcPr>
          <w:p w14:paraId="64D0A08F">
            <w:pPr>
              <w:spacing w:before="123" w:line="219" w:lineRule="auto"/>
              <w:ind w:firstLine="0" w:firstLineChars="0"/>
              <w:jc w:val="center"/>
              <w:rPr>
                <w:rFonts w:hint="eastAsia"/>
                <w:szCs w:val="24"/>
              </w:rPr>
            </w:pPr>
            <w:r>
              <w:rPr>
                <w:rFonts w:hint="eastAsia"/>
                <w:szCs w:val="24"/>
              </w:rPr>
              <w:t>8</w:t>
            </w:r>
          </w:p>
        </w:tc>
        <w:tc>
          <w:tcPr>
            <w:tcW w:w="3096" w:type="pct"/>
          </w:tcPr>
          <w:p w14:paraId="0653F65E">
            <w:pPr>
              <w:spacing w:before="123" w:line="219" w:lineRule="auto"/>
              <w:ind w:firstLine="0" w:firstLineChars="0"/>
              <w:jc w:val="center"/>
              <w:rPr>
                <w:rFonts w:hint="eastAsia"/>
                <w:szCs w:val="24"/>
              </w:rPr>
            </w:pPr>
            <w:r>
              <w:rPr>
                <w:rFonts w:hint="eastAsia"/>
              </w:rPr>
              <w:t>移动手持终端</w:t>
            </w:r>
          </w:p>
        </w:tc>
        <w:tc>
          <w:tcPr>
            <w:tcW w:w="1070" w:type="pct"/>
          </w:tcPr>
          <w:p w14:paraId="70289AF4">
            <w:pPr>
              <w:spacing w:before="123" w:line="219" w:lineRule="auto"/>
              <w:ind w:firstLine="0" w:firstLineChars="0"/>
              <w:jc w:val="center"/>
              <w:rPr>
                <w:rFonts w:hint="eastAsia"/>
                <w:szCs w:val="24"/>
              </w:rPr>
            </w:pPr>
            <w:r>
              <w:rPr>
                <w:rFonts w:hint="eastAsia"/>
              </w:rPr>
              <w:t>30台</w:t>
            </w:r>
          </w:p>
        </w:tc>
      </w:tr>
      <w:tr w14:paraId="20C7B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32" w:type="pct"/>
          </w:tcPr>
          <w:p w14:paraId="2B0F971F">
            <w:pPr>
              <w:spacing w:before="123" w:line="219" w:lineRule="auto"/>
              <w:ind w:firstLine="0" w:firstLineChars="0"/>
              <w:jc w:val="center"/>
              <w:rPr>
                <w:rFonts w:hint="eastAsia"/>
                <w:szCs w:val="24"/>
              </w:rPr>
            </w:pPr>
            <w:r>
              <w:rPr>
                <w:rFonts w:hint="eastAsia"/>
                <w:szCs w:val="24"/>
              </w:rPr>
              <w:t>9</w:t>
            </w:r>
          </w:p>
        </w:tc>
        <w:tc>
          <w:tcPr>
            <w:tcW w:w="3096" w:type="pct"/>
          </w:tcPr>
          <w:p w14:paraId="37F6B24E">
            <w:pPr>
              <w:spacing w:before="123" w:line="219" w:lineRule="auto"/>
              <w:ind w:firstLine="0" w:firstLineChars="0"/>
              <w:jc w:val="center"/>
              <w:rPr>
                <w:rFonts w:hint="eastAsia"/>
                <w:szCs w:val="24"/>
              </w:rPr>
            </w:pPr>
            <w:r>
              <w:rPr>
                <w:rFonts w:hint="eastAsia"/>
              </w:rPr>
              <w:t>55寸智护屏（触摸式）</w:t>
            </w:r>
          </w:p>
        </w:tc>
        <w:tc>
          <w:tcPr>
            <w:tcW w:w="1070" w:type="pct"/>
          </w:tcPr>
          <w:p w14:paraId="3C5987B3">
            <w:pPr>
              <w:spacing w:before="123" w:line="219" w:lineRule="auto"/>
              <w:ind w:firstLine="0" w:firstLineChars="0"/>
              <w:jc w:val="center"/>
              <w:rPr>
                <w:rFonts w:hint="eastAsia"/>
                <w:szCs w:val="24"/>
              </w:rPr>
            </w:pPr>
            <w:r>
              <w:rPr>
                <w:rFonts w:hint="eastAsia"/>
              </w:rPr>
              <w:t>15台</w:t>
            </w:r>
          </w:p>
        </w:tc>
      </w:tr>
      <w:tr w14:paraId="369E0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32" w:type="pct"/>
          </w:tcPr>
          <w:p w14:paraId="56DDF34F">
            <w:pPr>
              <w:spacing w:before="123" w:line="219" w:lineRule="auto"/>
              <w:ind w:firstLine="0" w:firstLineChars="0"/>
              <w:jc w:val="center"/>
              <w:rPr>
                <w:rFonts w:hint="eastAsia"/>
                <w:szCs w:val="24"/>
              </w:rPr>
            </w:pPr>
            <w:r>
              <w:rPr>
                <w:rFonts w:hint="eastAsia"/>
                <w:szCs w:val="24"/>
              </w:rPr>
              <w:t>10</w:t>
            </w:r>
          </w:p>
        </w:tc>
        <w:tc>
          <w:tcPr>
            <w:tcW w:w="3096" w:type="pct"/>
          </w:tcPr>
          <w:p w14:paraId="0BBC9257">
            <w:pPr>
              <w:spacing w:before="123" w:line="219" w:lineRule="auto"/>
              <w:ind w:firstLine="0" w:firstLineChars="0"/>
              <w:jc w:val="center"/>
              <w:rPr>
                <w:rFonts w:hint="eastAsia"/>
                <w:szCs w:val="24"/>
              </w:rPr>
            </w:pPr>
            <w:r>
              <w:rPr>
                <w:rFonts w:hint="eastAsia"/>
              </w:rPr>
              <w:t>三射频卡</w:t>
            </w:r>
          </w:p>
        </w:tc>
        <w:tc>
          <w:tcPr>
            <w:tcW w:w="1070" w:type="pct"/>
          </w:tcPr>
          <w:p w14:paraId="1BFA1941">
            <w:pPr>
              <w:spacing w:before="123" w:line="219" w:lineRule="auto"/>
              <w:ind w:firstLine="0" w:firstLineChars="0"/>
              <w:jc w:val="center"/>
              <w:rPr>
                <w:rFonts w:hint="eastAsia"/>
                <w:szCs w:val="24"/>
              </w:rPr>
            </w:pPr>
            <w:r>
              <w:rPr>
                <w:rFonts w:hint="eastAsia"/>
              </w:rPr>
              <w:t>75个</w:t>
            </w:r>
          </w:p>
        </w:tc>
      </w:tr>
      <w:tr w14:paraId="6F97F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32" w:type="pct"/>
          </w:tcPr>
          <w:p w14:paraId="2914502E">
            <w:pPr>
              <w:spacing w:before="123" w:line="219" w:lineRule="auto"/>
              <w:ind w:firstLine="0" w:firstLineChars="0"/>
              <w:jc w:val="center"/>
              <w:rPr>
                <w:rFonts w:hint="eastAsia"/>
                <w:szCs w:val="24"/>
              </w:rPr>
            </w:pPr>
            <w:r>
              <w:rPr>
                <w:rFonts w:hint="eastAsia"/>
                <w:szCs w:val="24"/>
              </w:rPr>
              <w:t>11</w:t>
            </w:r>
          </w:p>
        </w:tc>
        <w:tc>
          <w:tcPr>
            <w:tcW w:w="3096" w:type="pct"/>
          </w:tcPr>
          <w:p w14:paraId="4CF7B5E3">
            <w:pPr>
              <w:spacing w:before="123" w:line="219" w:lineRule="auto"/>
              <w:ind w:firstLine="0" w:firstLineChars="0"/>
              <w:jc w:val="center"/>
              <w:rPr>
                <w:rFonts w:hint="eastAsia"/>
                <w:szCs w:val="24"/>
              </w:rPr>
            </w:pPr>
            <w:r>
              <w:rPr>
                <w:rFonts w:hint="eastAsia"/>
              </w:rPr>
              <w:t>接口对接</w:t>
            </w:r>
          </w:p>
        </w:tc>
        <w:tc>
          <w:tcPr>
            <w:tcW w:w="1070" w:type="pct"/>
          </w:tcPr>
          <w:p w14:paraId="21503586">
            <w:pPr>
              <w:spacing w:before="123" w:line="219" w:lineRule="auto"/>
              <w:ind w:firstLine="0" w:firstLineChars="0"/>
              <w:jc w:val="center"/>
              <w:rPr>
                <w:rFonts w:hint="eastAsia"/>
                <w:szCs w:val="24"/>
              </w:rPr>
            </w:pPr>
            <w:r>
              <w:rPr>
                <w:rFonts w:hint="eastAsia"/>
              </w:rPr>
              <w:t>1套</w:t>
            </w:r>
          </w:p>
        </w:tc>
      </w:tr>
    </w:tbl>
    <w:p w14:paraId="6AC327E2">
      <w:pPr>
        <w:rPr>
          <w:rFonts w:hint="eastAsia"/>
        </w:rPr>
        <w:sectPr>
          <w:headerReference r:id="rId14" w:type="default"/>
          <w:footerReference r:id="rId15" w:type="default"/>
          <w:pgSz w:w="11906" w:h="16838"/>
          <w:pgMar w:top="1440" w:right="1797" w:bottom="1440" w:left="1797" w:header="851" w:footer="992" w:gutter="0"/>
          <w:pgBorders>
            <w:top w:val="single" w:color="auto" w:sz="4" w:space="1"/>
            <w:bottom w:val="single" w:color="auto" w:sz="4" w:space="1"/>
          </w:pgBorders>
          <w:cols w:space="425" w:num="1"/>
          <w:docGrid w:type="lines" w:linePitch="312" w:charSpace="0"/>
        </w:sectPr>
      </w:pPr>
    </w:p>
    <w:p w14:paraId="4E825DEC">
      <w:pPr>
        <w:pStyle w:val="3"/>
        <w:numPr>
          <w:ilvl w:val="0"/>
          <w:numId w:val="0"/>
        </w:numPr>
        <w:ind w:left="432"/>
        <w:rPr>
          <w:rFonts w:hint="eastAsia"/>
        </w:rPr>
      </w:pPr>
      <w:bookmarkStart w:id="212" w:name="_Toc176791497"/>
      <w:r>
        <w:rPr>
          <w:rFonts w:hint="eastAsia"/>
        </w:rPr>
        <w:t>附表2：项目详细配置清单</w:t>
      </w:r>
      <w:bookmarkEnd w:id="212"/>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9740"/>
        <w:gridCol w:w="785"/>
        <w:gridCol w:w="700"/>
        <w:gridCol w:w="1656"/>
      </w:tblGrid>
      <w:tr w14:paraId="766D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6" w:type="pct"/>
            <w:shd w:val="clear" w:color="auto" w:fill="D9E1F4"/>
            <w:noWrap/>
            <w:vAlign w:val="center"/>
          </w:tcPr>
          <w:p w14:paraId="16B12321">
            <w:pPr>
              <w:widowControl/>
              <w:adjustRightInd/>
              <w:snapToGrid/>
              <w:ind w:firstLine="0" w:firstLineChars="0"/>
              <w:jc w:val="center"/>
              <w:textAlignment w:val="center"/>
              <w:rPr>
                <w:rFonts w:hint="eastAsia" w:eastAsia="宋体" w:cs="宋体"/>
                <w:color w:val="000000"/>
                <w:spacing w:val="0"/>
                <w:sz w:val="22"/>
                <w:szCs w:val="22"/>
              </w:rPr>
            </w:pPr>
            <w:r>
              <w:rPr>
                <w:rFonts w:hint="eastAsia" w:eastAsia="宋体" w:cs="宋体"/>
                <w:color w:val="000000"/>
                <w:spacing w:val="0"/>
                <w:kern w:val="0"/>
                <w:sz w:val="22"/>
                <w:szCs w:val="22"/>
                <w:lang w:bidi="ar"/>
              </w:rPr>
              <w:t>产品</w:t>
            </w:r>
          </w:p>
        </w:tc>
        <w:tc>
          <w:tcPr>
            <w:tcW w:w="3436" w:type="pct"/>
            <w:shd w:val="clear" w:color="auto" w:fill="D9E1F4"/>
            <w:noWrap/>
            <w:vAlign w:val="center"/>
          </w:tcPr>
          <w:p w14:paraId="58EE0AB5">
            <w:pPr>
              <w:widowControl/>
              <w:adjustRightInd/>
              <w:snapToGrid/>
              <w:ind w:firstLine="0" w:firstLineChars="0"/>
              <w:jc w:val="center"/>
              <w:textAlignment w:val="center"/>
              <w:rPr>
                <w:rFonts w:hint="eastAsia" w:eastAsia="宋体" w:cs="宋体"/>
                <w:color w:val="000000"/>
                <w:spacing w:val="0"/>
                <w:sz w:val="22"/>
                <w:szCs w:val="22"/>
              </w:rPr>
            </w:pPr>
            <w:r>
              <w:rPr>
                <w:rFonts w:hint="eastAsia" w:eastAsia="宋体" w:cs="宋体"/>
                <w:color w:val="000000"/>
                <w:spacing w:val="0"/>
                <w:kern w:val="0"/>
                <w:sz w:val="22"/>
                <w:szCs w:val="22"/>
                <w:lang w:bidi="ar"/>
              </w:rPr>
              <w:t>技术参数</w:t>
            </w:r>
          </w:p>
        </w:tc>
        <w:tc>
          <w:tcPr>
            <w:tcW w:w="277" w:type="pct"/>
            <w:shd w:val="clear" w:color="auto" w:fill="D9E1F4"/>
            <w:noWrap/>
            <w:vAlign w:val="center"/>
          </w:tcPr>
          <w:p w14:paraId="62617E2A">
            <w:pPr>
              <w:widowControl/>
              <w:adjustRightInd/>
              <w:snapToGrid/>
              <w:ind w:firstLine="0" w:firstLineChars="0"/>
              <w:jc w:val="center"/>
              <w:textAlignment w:val="center"/>
              <w:rPr>
                <w:rFonts w:hint="eastAsia" w:eastAsia="宋体" w:cs="宋体"/>
                <w:color w:val="000000"/>
                <w:spacing w:val="0"/>
                <w:sz w:val="22"/>
                <w:szCs w:val="22"/>
              </w:rPr>
            </w:pPr>
            <w:r>
              <w:rPr>
                <w:rFonts w:hint="eastAsia" w:eastAsia="宋体" w:cs="宋体"/>
                <w:color w:val="000000"/>
                <w:spacing w:val="0"/>
                <w:kern w:val="0"/>
                <w:sz w:val="22"/>
                <w:szCs w:val="22"/>
                <w:lang w:bidi="ar"/>
              </w:rPr>
              <w:t>数量</w:t>
            </w:r>
          </w:p>
        </w:tc>
        <w:tc>
          <w:tcPr>
            <w:tcW w:w="247" w:type="pct"/>
            <w:shd w:val="clear" w:color="auto" w:fill="D9E1F4"/>
            <w:noWrap/>
            <w:vAlign w:val="center"/>
          </w:tcPr>
          <w:p w14:paraId="72FBE6CD">
            <w:pPr>
              <w:widowControl/>
              <w:adjustRightInd/>
              <w:snapToGrid/>
              <w:ind w:firstLine="0" w:firstLineChars="0"/>
              <w:jc w:val="center"/>
              <w:textAlignment w:val="center"/>
              <w:rPr>
                <w:rFonts w:hint="eastAsia" w:eastAsia="宋体" w:cs="宋体"/>
                <w:color w:val="000000"/>
                <w:spacing w:val="0"/>
                <w:sz w:val="22"/>
                <w:szCs w:val="22"/>
              </w:rPr>
            </w:pPr>
            <w:r>
              <w:rPr>
                <w:rFonts w:hint="eastAsia" w:eastAsia="宋体" w:cs="宋体"/>
                <w:color w:val="000000"/>
                <w:spacing w:val="0"/>
                <w:kern w:val="0"/>
                <w:sz w:val="22"/>
                <w:szCs w:val="22"/>
                <w:lang w:bidi="ar"/>
              </w:rPr>
              <w:t>单位</w:t>
            </w:r>
          </w:p>
        </w:tc>
        <w:tc>
          <w:tcPr>
            <w:tcW w:w="584" w:type="pct"/>
            <w:shd w:val="clear" w:color="auto" w:fill="D9E1F4"/>
            <w:noWrap/>
            <w:vAlign w:val="center"/>
          </w:tcPr>
          <w:p w14:paraId="70A6DF53">
            <w:pPr>
              <w:widowControl/>
              <w:adjustRightInd/>
              <w:snapToGrid/>
              <w:ind w:firstLine="0" w:firstLineChars="0"/>
              <w:jc w:val="center"/>
              <w:textAlignment w:val="center"/>
              <w:rPr>
                <w:rFonts w:hint="eastAsia" w:eastAsia="宋体" w:cs="宋体"/>
                <w:color w:val="000000"/>
                <w:spacing w:val="0"/>
                <w:sz w:val="22"/>
                <w:szCs w:val="22"/>
              </w:rPr>
            </w:pPr>
            <w:r>
              <w:rPr>
                <w:rFonts w:hint="eastAsia" w:eastAsia="宋体" w:cs="宋体"/>
                <w:color w:val="000000"/>
                <w:spacing w:val="0"/>
                <w:kern w:val="0"/>
                <w:sz w:val="22"/>
                <w:szCs w:val="22"/>
                <w:lang w:bidi="ar"/>
              </w:rPr>
              <w:t>备注</w:t>
            </w:r>
          </w:p>
        </w:tc>
      </w:tr>
      <w:tr w14:paraId="0A51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shd w:val="clear" w:color="auto" w:fill="auto"/>
            <w:vAlign w:val="center"/>
          </w:tcPr>
          <w:p w14:paraId="79C30DAA">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输液监护管理系统软件</w:t>
            </w:r>
          </w:p>
        </w:tc>
        <w:tc>
          <w:tcPr>
            <w:tcW w:w="3436" w:type="pct"/>
            <w:shd w:val="clear" w:color="auto" w:fill="auto"/>
            <w:vAlign w:val="center"/>
          </w:tcPr>
          <w:p w14:paraId="1FCB3B04">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1、监控屏管理</w:t>
            </w:r>
          </w:p>
          <w:p w14:paraId="3E36160C">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★1)可打开监控屏对输液监护器进行监控，可查询当前输液状态，可对输液过快，过慢，暂停，被遮挡，输液完成进行提示。（要求提供系统截图，并加盖公章）</w:t>
            </w:r>
          </w:p>
          <w:p w14:paraId="2DA9D356">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2)自动排序，将非正常的信息排在最前面，方便查看</w:t>
            </w:r>
          </w:p>
          <w:p w14:paraId="755BCE99">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3)支持切换屏幕，可切换到电视上显示</w:t>
            </w:r>
          </w:p>
          <w:p w14:paraId="5894F6F5">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2、输液监护器管理：管理输液监护器信息，包括对应的床位号，科室等信息，用于在监控屏上监控显示</w:t>
            </w:r>
          </w:p>
          <w:p w14:paraId="0CE16D63">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3、病人管理：管理病人，用户绑定床位对应监护器，方便管理监控</w:t>
            </w:r>
          </w:p>
          <w:p w14:paraId="02298540">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4、用户管理：管理医护账号信息，包括姓名，所属科室等信息</w:t>
            </w:r>
          </w:p>
          <w:p w14:paraId="65A5FBA6">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5、输液记录：查询病人输液信息，包括输液时间和规格</w:t>
            </w:r>
          </w:p>
          <w:p w14:paraId="14E21C38">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6、事件日志：查询输液时日志信息，包括开始输液，输液异常等信息</w:t>
            </w:r>
          </w:p>
          <w:p w14:paraId="10920C4E">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7、输液参数设置：维护输液材料的信息，包括类型，容器重量，规格等</w:t>
            </w:r>
          </w:p>
          <w:p w14:paraId="6F9AA09E">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8、输液统计：按照天/周/月/年统计输液次数</w:t>
            </w:r>
          </w:p>
          <w:p w14:paraId="2DA4B535">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9、科室管理：管理科室基本信息</w:t>
            </w:r>
          </w:p>
          <w:p w14:paraId="198A0E2B">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10、配置：通过配置文件来配置基础数据。</w:t>
            </w:r>
          </w:p>
          <w:p w14:paraId="76E99BE5">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1)系统设置：是否自动登录，界面显示报警数据数量，语言等信息</w:t>
            </w:r>
          </w:p>
          <w:p w14:paraId="6BCDEE77">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2)数据库设置：配置数据库相关信息</w:t>
            </w:r>
          </w:p>
          <w:p w14:paraId="4D5B3C7F">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3)打印机配置：配置打印机相关信息</w:t>
            </w:r>
          </w:p>
          <w:p w14:paraId="15C93D23">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4)串口配置：监听端口配置</w:t>
            </w:r>
          </w:p>
          <w:p w14:paraId="28E5DADA">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5)监控屏设置：配置输液中相关信息的显示</w:t>
            </w:r>
          </w:p>
          <w:p w14:paraId="4387DAF2">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6)报警器设置：设置剩余液量提示等信息</w:t>
            </w:r>
          </w:p>
        </w:tc>
        <w:tc>
          <w:tcPr>
            <w:tcW w:w="277" w:type="pct"/>
            <w:shd w:val="clear" w:color="auto" w:fill="FFFFFF"/>
            <w:noWrap/>
            <w:vAlign w:val="center"/>
          </w:tcPr>
          <w:p w14:paraId="262AD6F0">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1</w:t>
            </w:r>
          </w:p>
        </w:tc>
        <w:tc>
          <w:tcPr>
            <w:tcW w:w="247" w:type="pct"/>
            <w:shd w:val="clear" w:color="auto" w:fill="FFFFFF"/>
            <w:noWrap/>
            <w:vAlign w:val="center"/>
          </w:tcPr>
          <w:p w14:paraId="4F6BFF55">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套</w:t>
            </w:r>
          </w:p>
        </w:tc>
        <w:tc>
          <w:tcPr>
            <w:tcW w:w="584" w:type="pct"/>
            <w:vAlign w:val="center"/>
          </w:tcPr>
          <w:p w14:paraId="7A7B2189">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全院一套，输液监护（3个病区）</w:t>
            </w:r>
          </w:p>
        </w:tc>
      </w:tr>
      <w:tr w14:paraId="3FE1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shd w:val="clear" w:color="auto" w:fill="auto"/>
            <w:vAlign w:val="center"/>
          </w:tcPr>
          <w:p w14:paraId="56B0624F">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输液监护器</w:t>
            </w:r>
          </w:p>
        </w:tc>
        <w:tc>
          <w:tcPr>
            <w:tcW w:w="3436" w:type="pct"/>
            <w:shd w:val="clear" w:color="auto" w:fill="auto"/>
            <w:vAlign w:val="center"/>
          </w:tcPr>
          <w:p w14:paraId="0A36F415">
            <w:pPr>
              <w:widowControl/>
              <w:adjustRightInd/>
              <w:snapToGrid/>
              <w:ind w:firstLine="0" w:firstLineChars="0"/>
              <w:jc w:val="left"/>
              <w:textAlignment w:val="center"/>
              <w:rPr>
                <w:rFonts w:hint="eastAsia" w:eastAsia="宋体" w:cs="宋体"/>
                <w:color w:val="000000"/>
                <w:spacing w:val="0"/>
                <w:sz w:val="16"/>
                <w:szCs w:val="16"/>
                <w:highlight w:val="yellow"/>
              </w:rPr>
            </w:pPr>
            <w:r>
              <w:rPr>
                <w:rFonts w:hint="eastAsia" w:eastAsia="宋体" w:cs="宋体"/>
                <w:color w:val="000000"/>
                <w:spacing w:val="0"/>
                <w:sz w:val="16"/>
                <w:szCs w:val="16"/>
              </w:rPr>
              <w:t>1.▲医院临床使用过程中，称重检测模式可保证剩余液量的实时校准，红外检测模式可判断输液滴速。要求输液监护器需承诺后续整合称重模式和红外模式，即输液监护控制器同时具备称重功能和红外线测滴速功能。(提供专业检测机构提供检测报告)</w:t>
            </w:r>
          </w:p>
          <w:p w14:paraId="584AE6FC">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2.▲输液监护控制器测量精度：称重测量范围：0g～5000g。</w:t>
            </w:r>
          </w:p>
          <w:p w14:paraId="39373272">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 xml:space="preserve">  称重测量精度：(提供专业检测机构提供检测报告)</w:t>
            </w:r>
          </w:p>
          <w:p w14:paraId="6EF59A25">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（1）当剩余量≤500g且≥0g时,称重精度为±1g。</w:t>
            </w:r>
          </w:p>
          <w:p w14:paraId="0BD36A81">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（2）当剩余量≤5000g且&gt;500g时,称重精度为±0.5%。</w:t>
            </w:r>
          </w:p>
          <w:p w14:paraId="2C221180">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3.滴速测量精度：0-300滴/分，±2滴/分。</w:t>
            </w:r>
          </w:p>
          <w:p w14:paraId="02714422">
            <w:pPr>
              <w:widowControl/>
              <w:adjustRightInd/>
              <w:snapToGrid/>
              <w:ind w:firstLine="0" w:firstLineChars="0"/>
              <w:jc w:val="left"/>
              <w:textAlignment w:val="center"/>
              <w:rPr>
                <w:rFonts w:hint="eastAsia" w:eastAsia="宋体" w:cs="宋体"/>
                <w:color w:val="000000"/>
                <w:spacing w:val="0"/>
                <w:sz w:val="16"/>
                <w:szCs w:val="16"/>
                <w:lang w:val="en-US" w:eastAsia="zh-CN"/>
              </w:rPr>
            </w:pPr>
            <w:r>
              <w:rPr>
                <w:rFonts w:hint="eastAsia" w:eastAsia="宋体" w:cs="宋体"/>
                <w:color w:val="000000"/>
                <w:spacing w:val="0"/>
                <w:sz w:val="16"/>
                <w:szCs w:val="16"/>
              </w:rPr>
              <w:t>4.▲为保障病人安全，避免血液回流，在输液完成后，输液监护器在6秒之内完成截流，防止血液回流。(提供专业检测机构提供检测报告)</w:t>
            </w:r>
          </w:p>
          <w:p w14:paraId="12B618CD">
            <w:pPr>
              <w:widowControl/>
              <w:adjustRightInd/>
              <w:snapToGrid/>
              <w:ind w:firstLine="0" w:firstLineChars="0"/>
              <w:jc w:val="left"/>
              <w:textAlignment w:val="center"/>
              <w:rPr>
                <w:rFonts w:hint="eastAsia" w:eastAsia="宋体" w:cs="宋体"/>
                <w:color w:val="000000"/>
                <w:spacing w:val="0"/>
                <w:sz w:val="16"/>
                <w:szCs w:val="16"/>
                <w:lang w:eastAsia="zh-CN"/>
              </w:rPr>
            </w:pPr>
            <w:r>
              <w:rPr>
                <w:rFonts w:hint="eastAsia" w:eastAsia="宋体" w:cs="宋体"/>
                <w:color w:val="000000"/>
                <w:spacing w:val="0"/>
                <w:sz w:val="16"/>
                <w:szCs w:val="16"/>
              </w:rPr>
              <w:t>5.▲为保证病人安全，输液监护器须具有二类医疗器械认证</w:t>
            </w:r>
            <w:r>
              <w:rPr>
                <w:rFonts w:hint="eastAsia" w:eastAsia="宋体" w:cs="宋体"/>
                <w:color w:val="000000"/>
                <w:spacing w:val="0"/>
                <w:kern w:val="0"/>
                <w:sz w:val="16"/>
                <w:szCs w:val="16"/>
                <w:highlight w:val="none"/>
                <w:lang w:bidi="ar"/>
              </w:rPr>
              <w:t>（须提供认证证书复印件并加盖公章）</w:t>
            </w:r>
            <w:r>
              <w:rPr>
                <w:rFonts w:hint="eastAsia" w:eastAsia="宋体" w:cs="宋体"/>
                <w:color w:val="000000"/>
                <w:spacing w:val="0"/>
                <w:sz w:val="16"/>
                <w:szCs w:val="16"/>
                <w:highlight w:val="none"/>
              </w:rPr>
              <w:t xml:space="preserve"> </w:t>
            </w:r>
            <w:r>
              <w:rPr>
                <w:rFonts w:hint="eastAsia" w:eastAsia="宋体" w:cs="宋体"/>
                <w:color w:val="000000"/>
                <w:spacing w:val="0"/>
                <w:sz w:val="16"/>
                <w:szCs w:val="16"/>
                <w:highlight w:val="none"/>
                <w:lang w:eastAsia="zh-CN"/>
              </w:rPr>
              <w:t>。</w:t>
            </w:r>
          </w:p>
        </w:tc>
        <w:tc>
          <w:tcPr>
            <w:tcW w:w="277" w:type="pct"/>
            <w:shd w:val="clear" w:color="auto" w:fill="FFFFFF"/>
            <w:noWrap/>
            <w:vAlign w:val="center"/>
          </w:tcPr>
          <w:p w14:paraId="1AC8445A">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15</w:t>
            </w:r>
          </w:p>
        </w:tc>
        <w:tc>
          <w:tcPr>
            <w:tcW w:w="247" w:type="pct"/>
            <w:shd w:val="clear" w:color="auto" w:fill="FFFFFF"/>
            <w:noWrap/>
            <w:vAlign w:val="center"/>
          </w:tcPr>
          <w:p w14:paraId="366AA873">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个</w:t>
            </w:r>
          </w:p>
        </w:tc>
        <w:tc>
          <w:tcPr>
            <w:tcW w:w="584" w:type="pct"/>
            <w:vAlign w:val="center"/>
          </w:tcPr>
          <w:p w14:paraId="7C5C13CD">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每病区规划5台，本次建设覆盖3个病区</w:t>
            </w:r>
          </w:p>
        </w:tc>
      </w:tr>
      <w:tr w14:paraId="7E0D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shd w:val="clear" w:color="auto" w:fill="auto"/>
            <w:vAlign w:val="center"/>
          </w:tcPr>
          <w:p w14:paraId="13719D06">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监护器充电架</w:t>
            </w:r>
          </w:p>
        </w:tc>
        <w:tc>
          <w:tcPr>
            <w:tcW w:w="3436" w:type="pct"/>
            <w:shd w:val="clear" w:color="auto" w:fill="auto"/>
            <w:vAlign w:val="center"/>
          </w:tcPr>
          <w:p w14:paraId="231DC3B2">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1、供电方式：电源适配器12VDC/10A</w:t>
            </w:r>
          </w:p>
          <w:p w14:paraId="1F7907E9">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2、充电座数量：10个</w:t>
            </w:r>
          </w:p>
        </w:tc>
        <w:tc>
          <w:tcPr>
            <w:tcW w:w="277" w:type="pct"/>
            <w:shd w:val="clear" w:color="auto" w:fill="FFFFFF"/>
            <w:noWrap/>
            <w:vAlign w:val="center"/>
          </w:tcPr>
          <w:p w14:paraId="174F3D7F">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3</w:t>
            </w:r>
          </w:p>
        </w:tc>
        <w:tc>
          <w:tcPr>
            <w:tcW w:w="247" w:type="pct"/>
            <w:shd w:val="clear" w:color="auto" w:fill="FFFFFF"/>
            <w:noWrap/>
            <w:vAlign w:val="center"/>
          </w:tcPr>
          <w:p w14:paraId="71ECFCE2">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个</w:t>
            </w:r>
          </w:p>
        </w:tc>
        <w:tc>
          <w:tcPr>
            <w:tcW w:w="584" w:type="pct"/>
            <w:vAlign w:val="center"/>
          </w:tcPr>
          <w:p w14:paraId="1E021DD7">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每病区1个</w:t>
            </w:r>
          </w:p>
        </w:tc>
      </w:tr>
      <w:tr w14:paraId="1F78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shd w:val="clear" w:color="auto" w:fill="auto"/>
            <w:vAlign w:val="center"/>
          </w:tcPr>
          <w:p w14:paraId="4FF61100">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移动临床管理系统软件</w:t>
            </w:r>
          </w:p>
        </w:tc>
        <w:tc>
          <w:tcPr>
            <w:tcW w:w="3436" w:type="pct"/>
            <w:shd w:val="clear" w:color="auto" w:fill="auto"/>
            <w:vAlign w:val="center"/>
          </w:tcPr>
          <w:p w14:paraId="2582E063">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PC端系统软件，适配移动的护士工作站、护理文书系统。满足医院以后移动信息化系统的扩展和升级，包括移动医生站、其他移动信息系统等。</w:t>
            </w:r>
          </w:p>
          <w:p w14:paraId="70605F14">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识别功能：</w:t>
            </w:r>
          </w:p>
          <w:p w14:paraId="66D989E4">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1.病人基本信息：显示所选中的病人基本信息，包括姓名、性别、护理级别、联系方式、住址、身份证号、主治医生、诊断、饮食、费用等。</w:t>
            </w:r>
          </w:p>
          <w:p w14:paraId="5153BAD8">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2.PC端病区床位一览卡：用户登陆护理系统PC端后，可以根据所属护理单元查看在区病人。在权限较高的用户登陆时，可以进行护理单元的选择。在本界面上，可以用床位卡的形式表现：姓名、性别、床号、护理级别、是否体温过高和待进行手术。（要求提供系统截图，并加盖公章）</w:t>
            </w:r>
          </w:p>
          <w:p w14:paraId="39B09F32">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3.腕带扫描识别：病人扫描识别护士使用PDA扫描病人腕带条码后，PDA界面切换到病人基本信息一栏</w:t>
            </w:r>
          </w:p>
          <w:p w14:paraId="4F3E4D1B">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4.病人流转：支持病人的床位的流转，及时记录和跟踪病人的床位信息。手术患者交接显示手术名称、手术部位、麻醉方式，诊断信息等手术信息。</w:t>
            </w:r>
          </w:p>
          <w:p w14:paraId="47851AF0">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5.腕带打印:病人腕带打印，用以标示病人身份；有出入院处全院打印和病区内补打两种模式</w:t>
            </w:r>
          </w:p>
          <w:p w14:paraId="69EF47E5">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6.床头卡打印:打印病人床头卡，主要根据等级护理做护理巡视及床头识别</w:t>
            </w:r>
          </w:p>
          <w:p w14:paraId="0F1E4D3D">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7.等级护理巡视:病人出入病区进行扫描登记以便追踪病人情况。</w:t>
            </w:r>
          </w:p>
          <w:p w14:paraId="4B8D1643">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生命体征管理:</w:t>
            </w:r>
          </w:p>
          <w:p w14:paraId="7E201CC0">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体征批量采集（仅PC端） 根据批量采集的的病人体征信息，批量录入到系统中，生成体温单，并可进行体温单打印（与护理系统互通）</w:t>
            </w:r>
          </w:p>
          <w:p w14:paraId="6D19DBC4">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体征信息查看:PC端支持病人体征信息实时查看，可以选择过滤条件</w:t>
            </w:r>
          </w:p>
          <w:p w14:paraId="6ABF6C1F">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体温单修改、预览、打印:针对录入的体征信息，按卫生部规定的体温单格式输出</w:t>
            </w:r>
          </w:p>
          <w:p w14:paraId="4E7BA2B7">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生命体征对外接口:将体温单等相关数据传递到需要该数据的系统里</w:t>
            </w:r>
          </w:p>
          <w:p w14:paraId="0F74A343">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生命体征待测:根据生命体征待测规则，在待测时间点提醒护士进行体征测量</w:t>
            </w:r>
          </w:p>
          <w:p w14:paraId="6A134651">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体征趋势图:动态查询病人生命体征、能显示单个生命体征某时段的趋势图。</w:t>
            </w:r>
          </w:p>
          <w:p w14:paraId="54AD8093">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健康宣教</w:t>
            </w:r>
          </w:p>
          <w:p w14:paraId="5A00D08F">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健康教育:丰富的健康教育知识库，针对病人的不同病症，对住院须知、出院健康宣教等实现床旁宣教</w:t>
            </w:r>
          </w:p>
          <w:p w14:paraId="1C89AA46">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临床报告</w:t>
            </w:r>
          </w:p>
          <w:p w14:paraId="45F3F9D3">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检查检验报告查看:查看住院病人的检查检验报告。对危急值进行警示。（不进行pacs等图形展示）</w:t>
            </w:r>
          </w:p>
          <w:p w14:paraId="602E5834">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交班报告</w:t>
            </w:r>
          </w:p>
          <w:p w14:paraId="36D7CA45">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录入、修改和查看各病区的交班报告。统计白班、小夜班、大夜班各个时间段的原有病人数、现有病人数、特级护理、一级护理、二级护理、三级护理、病危、病重、分娩、手术、转入、转出、体温异常、血压异常、血糖异常人数。</w:t>
            </w:r>
          </w:p>
          <w:p w14:paraId="267D05ED">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2.并能按上述分类分别查看该类病人的床位、姓名、年龄、诊断、描述和备注。</w:t>
            </w:r>
          </w:p>
          <w:p w14:paraId="2069ADA4">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3.可以直接导入危重病人、病人异常体温和不良反应。支持自定义项目的交班统计</w:t>
            </w:r>
            <w:r>
              <w:rPr>
                <w:rFonts w:hint="eastAsia" w:eastAsia="宋体" w:cs="宋体"/>
                <w:color w:val="000000"/>
                <w:spacing w:val="0"/>
                <w:kern w:val="0"/>
                <w:sz w:val="16"/>
                <w:szCs w:val="16"/>
                <w:lang w:eastAsia="zh-CN" w:bidi="ar"/>
              </w:rPr>
              <w:t>。</w:t>
            </w:r>
          </w:p>
          <w:p w14:paraId="6AD0A94A">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系统配置管理</w:t>
            </w:r>
          </w:p>
          <w:p w14:paraId="30DFB955">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1.用户账户管理:支持系统密码强度校验、密码有限期管理、密码输入阀值的控制；</w:t>
            </w:r>
          </w:p>
          <w:p w14:paraId="68E00313">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2.用户权限管理:系统操作人员权限分配管理</w:t>
            </w:r>
          </w:p>
          <w:p w14:paraId="62F7A91C">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3.科室病区管理:医院科室、病区的添加、删除、设置等功能</w:t>
            </w:r>
          </w:p>
          <w:p w14:paraId="00EA0312">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4.文书配置管理:针对结构化文书进行配置</w:t>
            </w:r>
          </w:p>
          <w:p w14:paraId="1C8B14C7">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5.健康教育模板维护:对健康教育模板的维护管理</w:t>
            </w:r>
          </w:p>
          <w:p w14:paraId="1A01312E">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6.事件设置:病区日常事件设置（如：皮试提醒、高危药品提醒等）</w:t>
            </w:r>
          </w:p>
          <w:p w14:paraId="109ADD8C">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7.移动待办项输入配置:根据医院定义的关于不同病人的体温测量规则进行对应提醒</w:t>
            </w:r>
          </w:p>
        </w:tc>
        <w:tc>
          <w:tcPr>
            <w:tcW w:w="277" w:type="pct"/>
            <w:shd w:val="clear" w:color="auto" w:fill="FFFFFF"/>
            <w:noWrap/>
            <w:vAlign w:val="center"/>
          </w:tcPr>
          <w:p w14:paraId="5B2D2EA4">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1</w:t>
            </w:r>
          </w:p>
        </w:tc>
        <w:tc>
          <w:tcPr>
            <w:tcW w:w="247" w:type="pct"/>
            <w:shd w:val="clear" w:color="auto" w:fill="FFFFFF"/>
            <w:noWrap/>
            <w:vAlign w:val="center"/>
          </w:tcPr>
          <w:p w14:paraId="16B20AFC">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套</w:t>
            </w:r>
          </w:p>
        </w:tc>
        <w:tc>
          <w:tcPr>
            <w:tcW w:w="584" w:type="pct"/>
            <w:vAlign w:val="center"/>
          </w:tcPr>
          <w:p w14:paraId="5C5899D6">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全院一套</w:t>
            </w:r>
          </w:p>
        </w:tc>
      </w:tr>
      <w:tr w14:paraId="1CE2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shd w:val="clear" w:color="auto" w:fill="auto"/>
            <w:vAlign w:val="center"/>
          </w:tcPr>
          <w:p w14:paraId="6BBD000C">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护士工作站</w:t>
            </w:r>
          </w:p>
        </w:tc>
        <w:tc>
          <w:tcPr>
            <w:tcW w:w="3436" w:type="pct"/>
            <w:shd w:val="clear" w:color="auto" w:fill="auto"/>
            <w:vAlign w:val="center"/>
          </w:tcPr>
          <w:p w14:paraId="3E0ADE8B">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1、登陆界面及患者列表</w:t>
            </w:r>
          </w:p>
          <w:p w14:paraId="1B37F8DB">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床位列表以列表的形式表现，简单清晰，明确列出了患者姓名、床位号、性别等患者标识信息。操作功能采用右键菜单实现，操作便捷，在PDA紧凑的设计界面上充分利用空间。</w:t>
            </w:r>
          </w:p>
          <w:p w14:paraId="02CC2C8E">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2、基本信息：</w:t>
            </w:r>
          </w:p>
          <w:p w14:paraId="043614E3">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查询患者住院基本信息，如：姓名、性别、联系地址、入院诊断及入院科室等基本信息。</w:t>
            </w:r>
          </w:p>
          <w:p w14:paraId="1B07FF1C">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3、患者医嘱信息：</w:t>
            </w:r>
          </w:p>
          <w:p w14:paraId="11102834">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此功能查询患者（支持腕带扫描准确快速定位某患者）的医嘱信息，包括有效、停用、药物、其他医嘱信息。医嘱信息的顶部显示患者的病历号、床位、姓名和性别。姓名用颜色区分护理级别是否欠费。医嘱由医嘱类型、药名、开始时间、用法、频度、每日剂量、备注、医生等信息组成。选中一项医嘱时，高亮显示，以便进行“执行医嘱、停用医嘱、复制医嘱”操作。信息超过屏幕时，使用上下翻页的功能进行查看。</w:t>
            </w:r>
          </w:p>
          <w:p w14:paraId="1C02EE25">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4、信息查询：</w:t>
            </w:r>
          </w:p>
          <w:p w14:paraId="14C14D8F">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此功能查询选中患者所做的检查报告，如：B超，CT，化验等结果报告单。查询时选中查询大类，列表则显示此大类患者所做的按时间降序排列的报告单列表,选中报告单列表，显示屏下方显示报告单结果内容。</w:t>
            </w:r>
          </w:p>
          <w:p w14:paraId="36D9D397">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5、生命体征查询：</w:t>
            </w:r>
          </w:p>
          <w:p w14:paraId="744F5DEB">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查询护士每天给患者记录的生命体征信息。</w:t>
            </w:r>
          </w:p>
          <w:p w14:paraId="542CF5F7">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6、生命体征录入：</w:t>
            </w:r>
          </w:p>
          <w:p w14:paraId="68A381FA">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病床边录入患者当时的生命体征信息。</w:t>
            </w:r>
          </w:p>
          <w:p w14:paraId="6B393EDA">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7、手术安排查询：</w:t>
            </w:r>
          </w:p>
          <w:p w14:paraId="6778BD3C">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查询本科或全部的手术安排，也可以按当日，次日，次日以后查询手术安排。</w:t>
            </w:r>
          </w:p>
          <w:p w14:paraId="079DC68F">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8、会诊单查询：</w:t>
            </w:r>
          </w:p>
          <w:p w14:paraId="0C2B65A6">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查询本科室收到的会诊信息，以及本科室发出的会诊信息。</w:t>
            </w:r>
          </w:p>
          <w:p w14:paraId="64EA0130">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9、执行医嘱：</w:t>
            </w:r>
          </w:p>
          <w:p w14:paraId="0BC9C650">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列出选中患者当前需执行的医嘱（支持腕带准确快速扫描，确定患者需执行的医嘱），点击开始按钮可执行此条医嘱。该功能实时准确的记录当前护士所做医嘱执行的情况，有效保证用药安全。</w:t>
            </w:r>
          </w:p>
          <w:p w14:paraId="59120B52">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10、医嘱执行情况查询：</w:t>
            </w:r>
          </w:p>
          <w:p w14:paraId="00E191DC">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查询护士医嘱执行情况</w:t>
            </w:r>
          </w:p>
          <w:p w14:paraId="29B4D5BD">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11、特殊医嘱处理：</w:t>
            </w:r>
          </w:p>
          <w:p w14:paraId="5030FF28">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如皮试医嘱。</w:t>
            </w:r>
          </w:p>
          <w:p w14:paraId="79F7A6D8">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12、入院评估</w:t>
            </w:r>
          </w:p>
          <w:p w14:paraId="328B95A6">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13、每日护理评估</w:t>
            </w:r>
          </w:p>
        </w:tc>
        <w:tc>
          <w:tcPr>
            <w:tcW w:w="277" w:type="pct"/>
            <w:shd w:val="clear" w:color="auto" w:fill="FFFFFF"/>
            <w:noWrap/>
            <w:vAlign w:val="center"/>
          </w:tcPr>
          <w:p w14:paraId="2652AC69">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15</w:t>
            </w:r>
          </w:p>
        </w:tc>
        <w:tc>
          <w:tcPr>
            <w:tcW w:w="247" w:type="pct"/>
            <w:shd w:val="clear" w:color="auto" w:fill="FFFFFF"/>
            <w:noWrap/>
            <w:vAlign w:val="center"/>
          </w:tcPr>
          <w:p w14:paraId="747A1B78">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套</w:t>
            </w:r>
          </w:p>
        </w:tc>
        <w:tc>
          <w:tcPr>
            <w:tcW w:w="584" w:type="pct"/>
            <w:vAlign w:val="center"/>
          </w:tcPr>
          <w:p w14:paraId="414E1E89">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按照病区数量配置，本次建设覆盖15个病区</w:t>
            </w:r>
          </w:p>
        </w:tc>
      </w:tr>
      <w:tr w14:paraId="6B12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6" w:type="pct"/>
            <w:shd w:val="clear" w:color="auto" w:fill="auto"/>
            <w:vAlign w:val="center"/>
          </w:tcPr>
          <w:p w14:paraId="3A64ED96">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护理文书系统软件</w:t>
            </w:r>
          </w:p>
        </w:tc>
        <w:tc>
          <w:tcPr>
            <w:tcW w:w="3436" w:type="pct"/>
            <w:shd w:val="clear" w:color="auto" w:fill="auto"/>
            <w:vAlign w:val="center"/>
          </w:tcPr>
          <w:p w14:paraId="12983A27">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入院评估单：病人入院当天《入院评估单》相关信息的录入。结构化的入院评估单，可配置，易维护。符合国家护理电子病历文书标准，通过勾选的方式，方便护士操作，减轻护士工作量。</w:t>
            </w:r>
          </w:p>
          <w:p w14:paraId="7E2E392C">
            <w:pPr>
              <w:widowControl/>
              <w:adjustRightInd/>
              <w:snapToGrid/>
              <w:ind w:firstLine="0" w:firstLineChars="0"/>
              <w:jc w:val="left"/>
              <w:textAlignment w:val="center"/>
              <w:rPr>
                <w:rFonts w:eastAsia="宋体" w:cs="宋体"/>
                <w:color w:val="000000"/>
                <w:spacing w:val="0"/>
                <w:sz w:val="16"/>
                <w:szCs w:val="16"/>
              </w:rPr>
            </w:pPr>
            <w:r>
              <w:rPr>
                <w:rFonts w:hint="eastAsia" w:eastAsia="宋体" w:cs="宋体"/>
                <w:color w:val="000000"/>
                <w:spacing w:val="0"/>
                <w:sz w:val="16"/>
                <w:szCs w:val="16"/>
              </w:rPr>
              <w:t>★护理记录单：支持病人住院期间《一般护理记录单》相关信息的录入、编辑、修改、打印，结构化文书操作，可配置，符合国家护理电子病历文书标准（要求提供系统截图，并加盖公章）</w:t>
            </w:r>
          </w:p>
          <w:p w14:paraId="7A0E9006">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小儿体温单：按《小儿体温单》格式进行护理信息的操作，结构化文书操作，可配置，符合等级医院评审标准</w:t>
            </w:r>
          </w:p>
          <w:p w14:paraId="32CBB304">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每日评估单：病人住院期间《每日评估单》相关信息的录入、修改、预览、打印，结构化文书操作，可配置，符合国家护理电子病历文书标准</w:t>
            </w:r>
          </w:p>
          <w:p w14:paraId="106A692E">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手术护理记录单：病人住院期间《手术护理记录单》相关信息的结构化文书操作，自动导入，符合等级医院评审标准</w:t>
            </w:r>
          </w:p>
          <w:p w14:paraId="0C5C8FC5">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危重护理记录单：病人住院期间《危重护理记录单》相关信息的录入、修改、预览、打印，结构化文书操作，可配置，符合等级医院评审标准</w:t>
            </w:r>
          </w:p>
          <w:p w14:paraId="7ABEB4BF">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血糖单：病人住院期间《血糖单》相关信息的录入、修改、预览、打印，结构化文书操作，可配置，符合等级医院评审标准</w:t>
            </w:r>
          </w:p>
          <w:p w14:paraId="4A014DE8">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出入量单：病人住院期间《出入量》相关信息的录入、修改、预览、打印，结构化文书操作，可配置，符合等级医院评审标准</w:t>
            </w:r>
          </w:p>
          <w:p w14:paraId="6BEF10FB">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手术患者转运交接单：针对手术患者的转运交接单</w:t>
            </w:r>
          </w:p>
          <w:p w14:paraId="036F0167">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危重患者转运交接单：针对危重患者的转运交接单</w:t>
            </w:r>
          </w:p>
          <w:p w14:paraId="414AF675">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护理计划与措施：</w:t>
            </w:r>
          </w:p>
          <w:p w14:paraId="75126B96">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1、有各专科护理计划知识库，可按病种勾选，根据所选计划知识库，制定相应的护理处理措施</w:t>
            </w:r>
          </w:p>
          <w:p w14:paraId="6EA79929">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2、护理计划新增、修改、执行</w:t>
            </w:r>
          </w:p>
          <w:p w14:paraId="08CFEA0E">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护理会诊单：对护理病人在不同科室进行会诊，最终形成一份完整的会诊单，协助本科室有针对性对病人进行有效护理。</w:t>
            </w:r>
          </w:p>
          <w:p w14:paraId="6A0ECB63">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BRADEN评分：病人住院期间BRADEN评分</w:t>
            </w:r>
          </w:p>
          <w:p w14:paraId="5FCACB57">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疼痛评分：病人住院期间疼痛评分</w:t>
            </w:r>
          </w:p>
          <w:p w14:paraId="3798BA00">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跌倒/坠床评分：病人住院期间跌倒/坠床评分</w:t>
            </w:r>
          </w:p>
          <w:p w14:paraId="3DC3AAFA">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sz w:val="16"/>
                <w:szCs w:val="16"/>
              </w:rPr>
              <w:t>评分趋势图：针对不同评分的图形展示</w:t>
            </w:r>
          </w:p>
        </w:tc>
        <w:tc>
          <w:tcPr>
            <w:tcW w:w="277" w:type="pct"/>
            <w:shd w:val="clear" w:color="auto" w:fill="FFFFFF"/>
            <w:noWrap/>
            <w:vAlign w:val="center"/>
          </w:tcPr>
          <w:p w14:paraId="57755D89">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15</w:t>
            </w:r>
          </w:p>
        </w:tc>
        <w:tc>
          <w:tcPr>
            <w:tcW w:w="247" w:type="pct"/>
            <w:shd w:val="clear" w:color="auto" w:fill="FFFFFF"/>
            <w:noWrap/>
            <w:vAlign w:val="center"/>
          </w:tcPr>
          <w:p w14:paraId="112B4056">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套</w:t>
            </w:r>
          </w:p>
        </w:tc>
        <w:tc>
          <w:tcPr>
            <w:tcW w:w="584" w:type="pct"/>
            <w:vAlign w:val="center"/>
          </w:tcPr>
          <w:p w14:paraId="18877B68">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按照病区数量配置，本次建设覆盖15个病区</w:t>
            </w:r>
          </w:p>
        </w:tc>
      </w:tr>
      <w:tr w14:paraId="6DDA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shd w:val="clear" w:color="auto" w:fill="auto"/>
            <w:vAlign w:val="center"/>
          </w:tcPr>
          <w:p w14:paraId="45AA2F0F">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电子白板系统</w:t>
            </w:r>
          </w:p>
        </w:tc>
        <w:tc>
          <w:tcPr>
            <w:tcW w:w="3436" w:type="pct"/>
            <w:shd w:val="clear" w:color="auto" w:fill="auto"/>
            <w:vAlign w:val="center"/>
          </w:tcPr>
          <w:p w14:paraId="09CD92E2">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实现了病区护理系统的数字化、智能化、可视化管理，替代传统手写板，确保病区护理信息的及时更新和准确传递。</w:t>
            </w:r>
          </w:p>
          <w:p w14:paraId="50D4C569">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 xml:space="preserve">首页展示： </w:t>
            </w:r>
          </w:p>
          <w:p w14:paraId="087C5CFF">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1.显示出入院统计：出院人数、入院人数、转出人数、转入人数</w:t>
            </w:r>
          </w:p>
          <w:p w14:paraId="747C546C">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2.根据护理等级分类查询不同患者的床位数，和总人数</w:t>
            </w:r>
          </w:p>
          <w:p w14:paraId="5968EB22">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3.跟进护理信息查询不同床位</w:t>
            </w:r>
          </w:p>
          <w:p w14:paraId="4816B193">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4.根据患者导管信息查询：姓名（脱敏）、床位、危险等级、静置周期、换药时间等患者临床信息</w:t>
            </w:r>
          </w:p>
          <w:p w14:paraId="59FEEB27">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5.首页支持显示值班人员信息查询</w:t>
            </w:r>
          </w:p>
          <w:p w14:paraId="1CD5D24E">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系统设置：编辑首页各项信息是否显示</w:t>
            </w:r>
          </w:p>
          <w:p w14:paraId="3E674400">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患者一览表：显示患者信息，诊断，食物注意事项，防范事项，过敏，责任医生，责任护士</w:t>
            </w:r>
          </w:p>
          <w:p w14:paraId="31F0E30E">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患者详情信息：患者在院信息，如患者基础信息、入院信息、医嘱信息、医保信息。</w:t>
            </w:r>
          </w:p>
          <w:p w14:paraId="5FD4BE71">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1.支持查看患者当日与长期医嘱。</w:t>
            </w:r>
          </w:p>
          <w:p w14:paraId="14C2350F">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2.支持查看患者护理记录支持查看患者检验检查报告。</w:t>
            </w:r>
          </w:p>
          <w:p w14:paraId="45DF8ADB">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3.支持查看并追踪患者生命体征数据</w:t>
            </w:r>
          </w:p>
          <w:p w14:paraId="31CCA87D">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 xml:space="preserve">4.支持展示患者护理进度 </w:t>
            </w:r>
          </w:p>
          <w:p w14:paraId="4624597A">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5.支持查看患者手术，检查预约记录</w:t>
            </w:r>
          </w:p>
          <w:p w14:paraId="711469DE">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今日治疗：查看不同职工今日治疗任务以及床位号</w:t>
            </w:r>
          </w:p>
          <w:p w14:paraId="37346D71">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手术安排：支持展示病区手术安排内容； 手术时间支持查看今天与明日内容。</w:t>
            </w:r>
          </w:p>
          <w:p w14:paraId="68E50FB5">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检查安排：支持展示患者的检查检验预约安排信息，支持查看今天与明日内容。</w:t>
            </w:r>
          </w:p>
          <w:p w14:paraId="1259B7D5">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交接班:支持编辑不同床位的护理记录；支持查询体征信息，支持查询患者检查报告</w:t>
            </w:r>
          </w:p>
          <w:p w14:paraId="052211E8">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排班:可分时间查询不同班次、周期、排班时间、职工名称</w:t>
            </w:r>
          </w:p>
          <w:p w14:paraId="7C879FD5">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宣教学习:</w:t>
            </w:r>
          </w:p>
          <w:p w14:paraId="5D3E4683">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1.支持通过看板查看培训视频方便护士利用碎片时间的学习；</w:t>
            </w:r>
          </w:p>
          <w:p w14:paraId="03D2035A">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2.同时支持科室将视频共享给护士学习；</w:t>
            </w:r>
          </w:p>
          <w:p w14:paraId="035F3DBB">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3.支持通过看板查看宣教视频，供病区患者学习有关宣教内容。</w:t>
            </w:r>
          </w:p>
          <w:p w14:paraId="428E77E3">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人员信息：</w:t>
            </w:r>
          </w:p>
          <w:p w14:paraId="67A3F9CB">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1.支持创建并展示病区常用联系方式； 联系方式支持手写输入，保存后直接展示</w:t>
            </w:r>
          </w:p>
          <w:p w14:paraId="0DB1EE56">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2.支持同步展示护理组负责人及成员。</w:t>
            </w:r>
          </w:p>
          <w:p w14:paraId="0FC3EF61">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备忘录：</w:t>
            </w:r>
          </w:p>
          <w:p w14:paraId="2F93689D">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1.支持创建并展示病区护理备忘内容。</w:t>
            </w:r>
          </w:p>
          <w:p w14:paraId="3D050823">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2.支持多备忘同时展示。"</w:t>
            </w:r>
          </w:p>
          <w:p w14:paraId="2700BAE8">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危急值报警：当患者采集的检验结果出现异常时，大屏提示危急值预警。展示患者的床号，病区，病案号，标本种类，采集时间，报告时间，检验项目，结果，单位，危急值判断，确认人员，确认时间</w:t>
            </w:r>
          </w:p>
        </w:tc>
        <w:tc>
          <w:tcPr>
            <w:tcW w:w="277" w:type="pct"/>
            <w:shd w:val="clear" w:color="auto" w:fill="FFFFFF"/>
            <w:noWrap/>
            <w:vAlign w:val="center"/>
          </w:tcPr>
          <w:p w14:paraId="732D986E">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1</w:t>
            </w:r>
          </w:p>
        </w:tc>
        <w:tc>
          <w:tcPr>
            <w:tcW w:w="247" w:type="pct"/>
            <w:shd w:val="clear" w:color="auto" w:fill="FFFFFF"/>
            <w:noWrap/>
            <w:vAlign w:val="center"/>
          </w:tcPr>
          <w:p w14:paraId="3F006085">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套</w:t>
            </w:r>
          </w:p>
        </w:tc>
        <w:tc>
          <w:tcPr>
            <w:tcW w:w="584" w:type="pct"/>
            <w:vAlign w:val="center"/>
          </w:tcPr>
          <w:p w14:paraId="31E678F3">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全院一套</w:t>
            </w:r>
          </w:p>
        </w:tc>
      </w:tr>
      <w:tr w14:paraId="79B1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shd w:val="clear" w:color="auto" w:fill="auto"/>
            <w:vAlign w:val="center"/>
          </w:tcPr>
          <w:p w14:paraId="4CC965AD">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移动手持终端</w:t>
            </w:r>
          </w:p>
        </w:tc>
        <w:tc>
          <w:tcPr>
            <w:tcW w:w="3436" w:type="pct"/>
            <w:shd w:val="clear" w:color="auto" w:fill="auto"/>
            <w:vAlign w:val="center"/>
          </w:tcPr>
          <w:p w14:paraId="0017D36E">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1.处理器:8核处理器，频率≥2.0GHZ</w:t>
            </w:r>
          </w:p>
          <w:p w14:paraId="66BDAA89">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2.运行内存:≥4GB RAM</w:t>
            </w:r>
          </w:p>
          <w:p w14:paraId="0B638FFB">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3.储存内存:≥64GB ROM</w:t>
            </w:r>
          </w:p>
          <w:p w14:paraId="7CA31D4E">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4.续航能力:可充电的锂离子电池，容量≥4800mAh；为避免后期电池接触不良等问题，电池采用一体化设计，不可拆卸；Type-C接口，支持快充技术</w:t>
            </w:r>
          </w:p>
          <w:p w14:paraId="67823EB3">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5.屏幕尺寸:≥5.7英寸，电容多点触控</w:t>
            </w:r>
          </w:p>
          <w:p w14:paraId="5A0449F6">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6.屏幕分辨率:分辨率≥1440*720</w:t>
            </w:r>
          </w:p>
          <w:p w14:paraId="448D849F">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7.摄像头:≥1300万像素，自动对焦摄像头</w:t>
            </w:r>
          </w:p>
          <w:p w14:paraId="3748891D">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8.重量:≤231g 含标准电池</w:t>
            </w:r>
          </w:p>
          <w:p w14:paraId="70B7AF9C">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9.防摔抗震:可承受1.5m高处到地面的多次跌落，室温下6个面每面不少于2次跌落，达到IP67等级</w:t>
            </w:r>
          </w:p>
          <w:p w14:paraId="0CD9830A">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10.WIFI网络:支持802.11a/b/g/n/ac协议，2.4G/5G双频</w:t>
            </w:r>
          </w:p>
          <w:p w14:paraId="7265F0FA">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11.3G/4G网络:支持3G/4G全网通、支持双卡双待</w:t>
            </w:r>
          </w:p>
          <w:p w14:paraId="4D81C9F5">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12.蓝牙网络:BLE 5.0</w:t>
            </w:r>
          </w:p>
          <w:p w14:paraId="6B883073">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13.条码扫描引擎:国产自主研发扫描头；白色LED照明光，红色LED瞄准光；</w:t>
            </w:r>
          </w:p>
          <w:p w14:paraId="0E23147C">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14.连续扫描:可实现PDA自动连续扫描，扫描速度可调节</w:t>
            </w:r>
          </w:p>
          <w:p w14:paraId="60D0DB5B">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 xml:space="preserve">15.操作系统:Android </w:t>
            </w:r>
          </w:p>
        </w:tc>
        <w:tc>
          <w:tcPr>
            <w:tcW w:w="277" w:type="pct"/>
            <w:shd w:val="clear" w:color="auto" w:fill="FFFFFF"/>
            <w:noWrap/>
            <w:vAlign w:val="center"/>
          </w:tcPr>
          <w:p w14:paraId="2A0532E8">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30</w:t>
            </w:r>
          </w:p>
        </w:tc>
        <w:tc>
          <w:tcPr>
            <w:tcW w:w="247" w:type="pct"/>
            <w:shd w:val="clear" w:color="auto" w:fill="FFFFFF"/>
            <w:noWrap/>
            <w:vAlign w:val="center"/>
          </w:tcPr>
          <w:p w14:paraId="7642B913">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台</w:t>
            </w:r>
          </w:p>
        </w:tc>
        <w:tc>
          <w:tcPr>
            <w:tcW w:w="584" w:type="pct"/>
            <w:vAlign w:val="center"/>
          </w:tcPr>
          <w:p w14:paraId="6E7B3DA1">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每病区规划2台，本次建设覆盖15个病区。医院自备腕带打印机及腕带纸。</w:t>
            </w:r>
          </w:p>
        </w:tc>
      </w:tr>
      <w:tr w14:paraId="0781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456" w:type="pct"/>
            <w:shd w:val="clear" w:color="auto" w:fill="auto"/>
            <w:vAlign w:val="center"/>
          </w:tcPr>
          <w:p w14:paraId="77C6280E">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55寸智护屏（触摸式）</w:t>
            </w:r>
          </w:p>
        </w:tc>
        <w:tc>
          <w:tcPr>
            <w:tcW w:w="3436" w:type="pct"/>
            <w:shd w:val="clear" w:color="auto" w:fill="auto"/>
            <w:vAlign w:val="center"/>
          </w:tcPr>
          <w:p w14:paraId="46E1D26B">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显示参数</w:t>
            </w:r>
          </w:p>
          <w:p w14:paraId="013E885E">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显示尺寸：</w:t>
            </w:r>
            <w:r>
              <w:rPr>
                <w:rFonts w:hint="eastAsia" w:eastAsia="宋体" w:cs="宋体"/>
                <w:color w:val="000000"/>
                <w:spacing w:val="0"/>
                <w:kern w:val="0"/>
                <w:sz w:val="16"/>
                <w:szCs w:val="16"/>
                <w:lang w:val="en-US" w:eastAsia="zh-CN" w:bidi="ar"/>
              </w:rPr>
              <w:t>≥</w:t>
            </w:r>
            <w:r>
              <w:rPr>
                <w:rFonts w:hint="eastAsia" w:eastAsia="宋体" w:cs="宋体"/>
                <w:color w:val="000000"/>
                <w:spacing w:val="0"/>
                <w:kern w:val="0"/>
                <w:sz w:val="16"/>
                <w:szCs w:val="16"/>
                <w:lang w:bidi="ar"/>
              </w:rPr>
              <w:t>55 inch LED背光源</w:t>
            </w:r>
          </w:p>
          <w:p w14:paraId="66E18C57">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背光源类型：DLED</w:t>
            </w:r>
          </w:p>
          <w:p w14:paraId="26863B70">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触控参数</w:t>
            </w:r>
          </w:p>
          <w:p w14:paraId="2028EA3B">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触摸方式：红外触控</w:t>
            </w:r>
          </w:p>
          <w:p w14:paraId="4C3A855C">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触摸工艺：零贴合</w:t>
            </w:r>
          </w:p>
          <w:p w14:paraId="40A06AF5">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触控点：</w:t>
            </w:r>
            <w:r>
              <w:rPr>
                <w:rFonts w:hint="eastAsia" w:eastAsia="宋体" w:cs="宋体"/>
                <w:color w:val="000000"/>
                <w:spacing w:val="0"/>
                <w:kern w:val="0"/>
                <w:sz w:val="16"/>
                <w:szCs w:val="16"/>
                <w:lang w:val="en-US" w:eastAsia="zh-CN" w:bidi="ar"/>
              </w:rPr>
              <w:t>≥</w:t>
            </w:r>
            <w:r>
              <w:rPr>
                <w:rFonts w:hint="eastAsia" w:eastAsia="宋体" w:cs="宋体"/>
                <w:color w:val="000000"/>
                <w:spacing w:val="0"/>
                <w:kern w:val="0"/>
                <w:sz w:val="16"/>
                <w:szCs w:val="16"/>
                <w:lang w:bidi="ar"/>
              </w:rPr>
              <w:t>20点</w:t>
            </w:r>
            <w:r>
              <w:rPr>
                <w:rFonts w:hint="eastAsia" w:eastAsia="宋体" w:cs="宋体"/>
                <w:color w:val="000000"/>
                <w:spacing w:val="0"/>
                <w:kern w:val="0"/>
                <w:sz w:val="16"/>
                <w:szCs w:val="16"/>
                <w:lang w:eastAsia="zh-CN" w:bidi="ar"/>
              </w:rPr>
              <w:t>。</w:t>
            </w:r>
          </w:p>
          <w:p w14:paraId="573A74E7">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系统参数</w:t>
            </w:r>
          </w:p>
          <w:p w14:paraId="5EA060D0">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CPU：</w:t>
            </w:r>
            <w:r>
              <w:rPr>
                <w:rFonts w:hint="eastAsia" w:eastAsia="宋体" w:cs="宋体"/>
                <w:color w:val="000000"/>
                <w:spacing w:val="0"/>
                <w:kern w:val="0"/>
                <w:sz w:val="16"/>
                <w:szCs w:val="16"/>
                <w:lang w:val="en-US" w:eastAsia="zh-CN" w:bidi="ar"/>
              </w:rPr>
              <w:t>≥</w:t>
            </w:r>
            <w:r>
              <w:rPr>
                <w:rFonts w:hint="eastAsia" w:eastAsia="宋体" w:cs="宋体"/>
                <w:color w:val="000000"/>
                <w:spacing w:val="0"/>
                <w:kern w:val="0"/>
                <w:sz w:val="16"/>
                <w:szCs w:val="16"/>
                <w:lang w:bidi="ar"/>
              </w:rPr>
              <w:t>4核，主频≥1.5 GHz</w:t>
            </w:r>
            <w:r>
              <w:rPr>
                <w:rFonts w:hint="eastAsia" w:eastAsia="宋体" w:cs="宋体"/>
                <w:color w:val="000000"/>
                <w:spacing w:val="0"/>
                <w:kern w:val="0"/>
                <w:sz w:val="16"/>
                <w:szCs w:val="16"/>
                <w:lang w:eastAsia="zh-CN" w:bidi="ar"/>
              </w:rPr>
              <w:t>。</w:t>
            </w:r>
          </w:p>
          <w:p w14:paraId="235B9267">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内置存储：≥32 GB</w:t>
            </w:r>
          </w:p>
          <w:p w14:paraId="587F274D">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内存：≥3 GB</w:t>
            </w:r>
          </w:p>
          <w:p w14:paraId="4077D170">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 xml:space="preserve">操作系统：Android </w:t>
            </w:r>
          </w:p>
          <w:p w14:paraId="14B25885">
            <w:pPr>
              <w:widowControl/>
              <w:adjustRightInd/>
              <w:snapToGrid/>
              <w:ind w:firstLine="0" w:firstLineChars="0"/>
              <w:jc w:val="left"/>
              <w:textAlignment w:val="center"/>
              <w:rPr>
                <w:rFonts w:hint="eastAsia" w:eastAsia="宋体" w:cs="宋体"/>
                <w:color w:val="000000"/>
                <w:spacing w:val="0"/>
                <w:kern w:val="0"/>
                <w:sz w:val="16"/>
                <w:szCs w:val="16"/>
                <w:lang w:bidi="ar"/>
              </w:rPr>
            </w:pPr>
            <w:r>
              <w:rPr>
                <w:rFonts w:hint="eastAsia" w:eastAsia="宋体" w:cs="宋体"/>
                <w:color w:val="000000"/>
                <w:spacing w:val="0"/>
                <w:kern w:val="0"/>
                <w:sz w:val="16"/>
                <w:szCs w:val="16"/>
                <w:lang w:bidi="ar"/>
              </w:rPr>
              <w:t>蓝牙：内置BLE低功耗蓝牙模块，支持5.0及以下蓝牙版本</w:t>
            </w:r>
          </w:p>
        </w:tc>
        <w:tc>
          <w:tcPr>
            <w:tcW w:w="277" w:type="pct"/>
            <w:shd w:val="clear" w:color="auto" w:fill="FFFFFF"/>
            <w:noWrap/>
            <w:vAlign w:val="center"/>
          </w:tcPr>
          <w:p w14:paraId="39A6A8CC">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15</w:t>
            </w:r>
          </w:p>
        </w:tc>
        <w:tc>
          <w:tcPr>
            <w:tcW w:w="247" w:type="pct"/>
            <w:shd w:val="clear" w:color="auto" w:fill="FFFFFF"/>
            <w:noWrap/>
            <w:vAlign w:val="center"/>
          </w:tcPr>
          <w:p w14:paraId="428E70FA">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台</w:t>
            </w:r>
          </w:p>
        </w:tc>
        <w:tc>
          <w:tcPr>
            <w:tcW w:w="584" w:type="pct"/>
            <w:vAlign w:val="center"/>
          </w:tcPr>
          <w:p w14:paraId="222ABB5B">
            <w:pPr>
              <w:widowControl/>
              <w:adjustRightInd/>
              <w:snapToGrid/>
              <w:ind w:firstLine="0" w:firstLineChars="0"/>
              <w:jc w:val="left"/>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本次建设覆盖15个病区可实现电子白板，以及输液监护集中展示。</w:t>
            </w:r>
          </w:p>
        </w:tc>
      </w:tr>
      <w:tr w14:paraId="3FE8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456" w:type="pct"/>
            <w:shd w:val="clear" w:color="auto" w:fill="FFFFFF"/>
            <w:vAlign w:val="center"/>
          </w:tcPr>
          <w:p w14:paraId="1BE05544">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三射频卡</w:t>
            </w:r>
          </w:p>
        </w:tc>
        <w:tc>
          <w:tcPr>
            <w:tcW w:w="3436" w:type="pct"/>
            <w:shd w:val="clear" w:color="auto" w:fill="auto"/>
            <w:vAlign w:val="center"/>
          </w:tcPr>
          <w:p w14:paraId="5909B6AC">
            <w:pPr>
              <w:widowControl/>
              <w:adjustRightInd/>
              <w:snapToGrid/>
              <w:ind w:firstLine="0" w:firstLineChars="0"/>
              <w:jc w:val="left"/>
              <w:textAlignment w:val="center"/>
              <w:rPr>
                <w:rFonts w:hint="eastAsia" w:eastAsia="宋体" w:cs="宋体"/>
                <w:color w:val="000000"/>
                <w:spacing w:val="0"/>
                <w:kern w:val="0"/>
                <w:sz w:val="16"/>
                <w:szCs w:val="16"/>
                <w:lang w:eastAsia="zh-CN" w:bidi="ar"/>
              </w:rPr>
            </w:pPr>
            <w:r>
              <w:rPr>
                <w:rFonts w:hint="eastAsia" w:eastAsia="宋体" w:cs="宋体"/>
                <w:color w:val="000000"/>
                <w:spacing w:val="0"/>
                <w:kern w:val="0"/>
                <w:sz w:val="16"/>
                <w:szCs w:val="16"/>
                <w:lang w:bidi="ar"/>
              </w:rPr>
              <w:t>▲1、频率：支持125KHZ/425MHZ/2.4GHZ（提供第三方检测机构提供的检测报告</w:t>
            </w:r>
            <w:r>
              <w:rPr>
                <w:rFonts w:hint="eastAsia" w:eastAsia="宋体" w:cs="宋体"/>
                <w:color w:val="000000"/>
                <w:spacing w:val="0"/>
                <w:kern w:val="0"/>
                <w:sz w:val="16"/>
                <w:szCs w:val="16"/>
                <w:lang w:eastAsia="zh-CN" w:bidi="ar"/>
              </w:rPr>
              <w:t>）</w:t>
            </w:r>
          </w:p>
          <w:p w14:paraId="7692F01B">
            <w:pPr>
              <w:widowControl/>
              <w:adjustRightInd/>
              <w:snapToGrid/>
              <w:ind w:firstLine="0" w:firstLineChars="0"/>
              <w:jc w:val="left"/>
              <w:textAlignment w:val="center"/>
              <w:rPr>
                <w:rFonts w:hint="eastAsia" w:eastAsia="宋体" w:cs="宋体"/>
                <w:color w:val="000000"/>
                <w:spacing w:val="0"/>
                <w:kern w:val="0"/>
                <w:sz w:val="16"/>
                <w:szCs w:val="16"/>
                <w:lang w:bidi="ar"/>
              </w:rPr>
            </w:pPr>
            <w:r>
              <w:rPr>
                <w:rFonts w:hint="eastAsia" w:eastAsia="宋体" w:cs="宋体"/>
                <w:color w:val="000000"/>
                <w:spacing w:val="0"/>
                <w:kern w:val="0"/>
                <w:sz w:val="16"/>
                <w:szCs w:val="16"/>
                <w:lang w:bidi="ar"/>
              </w:rPr>
              <w:t>2、功耗：≦2.5W</w:t>
            </w:r>
          </w:p>
          <w:p w14:paraId="02A403AD">
            <w:pPr>
              <w:widowControl/>
              <w:adjustRightInd/>
              <w:snapToGrid/>
              <w:ind w:firstLine="0" w:firstLineChars="0"/>
              <w:jc w:val="left"/>
              <w:textAlignment w:val="center"/>
              <w:rPr>
                <w:rFonts w:hint="eastAsia" w:eastAsia="宋体" w:cs="宋体"/>
                <w:color w:val="000000"/>
                <w:spacing w:val="0"/>
                <w:kern w:val="0"/>
                <w:sz w:val="16"/>
                <w:szCs w:val="16"/>
                <w:lang w:bidi="ar"/>
              </w:rPr>
            </w:pPr>
            <w:r>
              <w:rPr>
                <w:rFonts w:hint="eastAsia" w:eastAsia="宋体" w:cs="宋体"/>
                <w:color w:val="000000"/>
                <w:spacing w:val="0"/>
                <w:kern w:val="0"/>
                <w:sz w:val="16"/>
                <w:szCs w:val="16"/>
                <w:lang w:bidi="ar"/>
              </w:rPr>
              <w:t>3、RFID工作频道：425MHz</w:t>
            </w:r>
          </w:p>
          <w:p w14:paraId="6865682B">
            <w:pPr>
              <w:widowControl/>
              <w:adjustRightInd/>
              <w:snapToGrid/>
              <w:ind w:firstLine="0" w:firstLineChars="0"/>
              <w:jc w:val="left"/>
              <w:textAlignment w:val="center"/>
              <w:rPr>
                <w:rFonts w:hint="eastAsia" w:eastAsia="宋体" w:cs="宋体"/>
                <w:color w:val="000000"/>
                <w:spacing w:val="0"/>
                <w:kern w:val="0"/>
                <w:sz w:val="16"/>
                <w:szCs w:val="16"/>
                <w:lang w:bidi="ar"/>
              </w:rPr>
            </w:pPr>
            <w:r>
              <w:rPr>
                <w:rFonts w:hint="eastAsia" w:eastAsia="宋体" w:cs="宋体"/>
                <w:color w:val="000000"/>
                <w:spacing w:val="0"/>
                <w:kern w:val="0"/>
                <w:sz w:val="16"/>
                <w:szCs w:val="16"/>
                <w:lang w:bidi="ar"/>
              </w:rPr>
              <w:t>4、425MHz信号调制方式：GFSK</w:t>
            </w:r>
          </w:p>
          <w:p w14:paraId="6CBDAA5A">
            <w:pPr>
              <w:widowControl/>
              <w:adjustRightInd/>
              <w:snapToGrid/>
              <w:ind w:firstLine="0" w:firstLineChars="0"/>
              <w:jc w:val="left"/>
              <w:textAlignment w:val="center"/>
              <w:rPr>
                <w:rFonts w:hint="eastAsia" w:eastAsia="宋体" w:cs="宋体"/>
                <w:color w:val="000000"/>
                <w:spacing w:val="0"/>
                <w:kern w:val="0"/>
                <w:sz w:val="16"/>
                <w:szCs w:val="16"/>
                <w:lang w:bidi="ar"/>
              </w:rPr>
            </w:pPr>
            <w:r>
              <w:rPr>
                <w:rFonts w:hint="eastAsia" w:eastAsia="宋体" w:cs="宋体"/>
                <w:color w:val="000000"/>
                <w:spacing w:val="0"/>
                <w:kern w:val="0"/>
                <w:sz w:val="16"/>
                <w:szCs w:val="16"/>
                <w:lang w:bidi="ar"/>
              </w:rPr>
              <w:t>5、425MHz通讯距离：≦20m（直径）</w:t>
            </w:r>
          </w:p>
          <w:p w14:paraId="0632B59E">
            <w:pPr>
              <w:widowControl/>
              <w:adjustRightInd/>
              <w:snapToGrid/>
              <w:ind w:firstLine="0" w:firstLineChars="0"/>
              <w:jc w:val="left"/>
              <w:textAlignment w:val="center"/>
              <w:rPr>
                <w:rFonts w:hint="eastAsia" w:eastAsia="宋体" w:cs="宋体"/>
                <w:color w:val="000000"/>
                <w:spacing w:val="0"/>
                <w:kern w:val="0"/>
                <w:sz w:val="16"/>
                <w:szCs w:val="16"/>
                <w:lang w:bidi="ar"/>
              </w:rPr>
            </w:pPr>
            <w:r>
              <w:rPr>
                <w:rFonts w:hint="eastAsia" w:eastAsia="宋体" w:cs="宋体"/>
                <w:color w:val="000000"/>
                <w:spacing w:val="0"/>
                <w:kern w:val="0"/>
                <w:sz w:val="16"/>
                <w:szCs w:val="16"/>
                <w:lang w:bidi="ar"/>
              </w:rPr>
              <w:t>6、蓝牙通讯距离：≦15m(室内直径）</w:t>
            </w:r>
          </w:p>
          <w:p w14:paraId="4A1AC9FD">
            <w:pPr>
              <w:widowControl/>
              <w:adjustRightInd/>
              <w:snapToGrid/>
              <w:ind w:firstLine="0" w:firstLineChars="0"/>
              <w:jc w:val="left"/>
              <w:textAlignment w:val="center"/>
              <w:rPr>
                <w:rFonts w:hint="eastAsia" w:eastAsia="宋体" w:cs="宋体"/>
                <w:color w:val="000000"/>
                <w:spacing w:val="0"/>
                <w:kern w:val="0"/>
                <w:sz w:val="16"/>
                <w:szCs w:val="16"/>
                <w:lang w:bidi="ar"/>
              </w:rPr>
            </w:pPr>
            <w:r>
              <w:rPr>
                <w:rFonts w:hint="eastAsia" w:eastAsia="宋体" w:cs="宋体"/>
                <w:color w:val="000000"/>
                <w:spacing w:val="0"/>
                <w:kern w:val="0"/>
                <w:sz w:val="16"/>
                <w:szCs w:val="16"/>
                <w:lang w:bidi="ar"/>
              </w:rPr>
              <w:t>7、LORA工作频道：470MHz</w:t>
            </w:r>
          </w:p>
          <w:p w14:paraId="4CB1DD4E">
            <w:pPr>
              <w:widowControl/>
              <w:adjustRightInd/>
              <w:snapToGrid/>
              <w:ind w:firstLine="0" w:firstLineChars="0"/>
              <w:jc w:val="left"/>
              <w:textAlignment w:val="center"/>
              <w:rPr>
                <w:rFonts w:hint="eastAsia" w:eastAsia="宋体" w:cs="宋体"/>
                <w:color w:val="000000"/>
                <w:spacing w:val="0"/>
                <w:kern w:val="0"/>
                <w:sz w:val="16"/>
                <w:szCs w:val="16"/>
                <w:lang w:bidi="ar"/>
              </w:rPr>
            </w:pPr>
            <w:r>
              <w:rPr>
                <w:rFonts w:hint="eastAsia" w:eastAsia="宋体" w:cs="宋体"/>
                <w:color w:val="000000"/>
                <w:spacing w:val="0"/>
                <w:kern w:val="0"/>
                <w:sz w:val="16"/>
                <w:szCs w:val="16"/>
                <w:lang w:bidi="ar"/>
              </w:rPr>
              <w:t>8、LORA470MHz通讯距离：≦100m(空旷)</w:t>
            </w:r>
          </w:p>
          <w:p w14:paraId="073386F9">
            <w:pPr>
              <w:widowControl/>
              <w:adjustRightInd/>
              <w:snapToGrid/>
              <w:ind w:firstLine="0" w:firstLineChars="0"/>
              <w:jc w:val="left"/>
              <w:textAlignment w:val="center"/>
              <w:rPr>
                <w:rFonts w:hint="eastAsia" w:eastAsia="宋体" w:cs="宋体"/>
                <w:color w:val="000000"/>
                <w:spacing w:val="0"/>
                <w:kern w:val="0"/>
                <w:sz w:val="16"/>
                <w:szCs w:val="16"/>
                <w:lang w:bidi="ar"/>
              </w:rPr>
            </w:pPr>
            <w:r>
              <w:rPr>
                <w:rFonts w:hint="eastAsia" w:eastAsia="宋体" w:cs="宋体"/>
                <w:color w:val="000000"/>
                <w:spacing w:val="0"/>
                <w:kern w:val="0"/>
                <w:sz w:val="16"/>
                <w:szCs w:val="16"/>
                <w:lang w:bidi="ar"/>
              </w:rPr>
              <w:t>9、125Khz区域定位距离：1~3.2m(半径)</w:t>
            </w:r>
          </w:p>
          <w:p w14:paraId="44BA19D5">
            <w:pPr>
              <w:widowControl/>
              <w:adjustRightInd/>
              <w:snapToGrid/>
              <w:ind w:firstLine="0" w:firstLineChars="0"/>
              <w:jc w:val="left"/>
              <w:textAlignment w:val="center"/>
              <w:rPr>
                <w:rFonts w:hint="eastAsia" w:eastAsia="宋体" w:cs="宋体"/>
                <w:color w:val="000000"/>
                <w:spacing w:val="0"/>
                <w:sz w:val="16"/>
                <w:szCs w:val="16"/>
                <w:lang w:eastAsia="zh-CN"/>
              </w:rPr>
            </w:pPr>
            <w:r>
              <w:rPr>
                <w:rFonts w:hint="eastAsia" w:eastAsia="宋体" w:cs="宋体"/>
                <w:color w:val="000000"/>
                <w:spacing w:val="0"/>
                <w:kern w:val="0"/>
                <w:sz w:val="16"/>
                <w:szCs w:val="16"/>
                <w:lang w:bidi="ar"/>
              </w:rPr>
              <w:t>▲10、产品通过电磁兼容性检测（提供由第三方检测机构出具的检测报告</w:t>
            </w:r>
            <w:r>
              <w:rPr>
                <w:rFonts w:hint="eastAsia" w:eastAsia="宋体" w:cs="宋体"/>
                <w:color w:val="000000"/>
                <w:spacing w:val="0"/>
                <w:kern w:val="0"/>
                <w:sz w:val="16"/>
                <w:szCs w:val="16"/>
                <w:lang w:eastAsia="zh-CN" w:bidi="ar"/>
              </w:rPr>
              <w:t>）</w:t>
            </w:r>
          </w:p>
        </w:tc>
        <w:tc>
          <w:tcPr>
            <w:tcW w:w="277" w:type="pct"/>
            <w:shd w:val="clear" w:color="auto" w:fill="FFFFFF"/>
            <w:noWrap/>
            <w:vAlign w:val="center"/>
          </w:tcPr>
          <w:p w14:paraId="635AA89D">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75</w:t>
            </w:r>
          </w:p>
        </w:tc>
        <w:tc>
          <w:tcPr>
            <w:tcW w:w="247" w:type="pct"/>
            <w:vAlign w:val="center"/>
          </w:tcPr>
          <w:p w14:paraId="70C33BB7">
            <w:pPr>
              <w:widowControl/>
              <w:adjustRightInd/>
              <w:snapToGrid/>
              <w:ind w:firstLine="0" w:firstLineChars="0"/>
              <w:jc w:val="center"/>
              <w:textAlignment w:val="center"/>
              <w:rPr>
                <w:rFonts w:hint="eastAsia" w:eastAsia="宋体" w:cs="宋体"/>
                <w:color w:val="000000"/>
                <w:spacing w:val="0"/>
                <w:sz w:val="16"/>
                <w:szCs w:val="16"/>
              </w:rPr>
            </w:pPr>
            <w:r>
              <w:rPr>
                <w:rFonts w:hint="eastAsia" w:eastAsia="宋体" w:cs="宋体"/>
                <w:color w:val="000000"/>
                <w:spacing w:val="0"/>
                <w:kern w:val="0"/>
                <w:sz w:val="16"/>
                <w:szCs w:val="16"/>
                <w:lang w:bidi="ar"/>
              </w:rPr>
              <w:t>台</w:t>
            </w:r>
          </w:p>
        </w:tc>
        <w:tc>
          <w:tcPr>
            <w:tcW w:w="584" w:type="pct"/>
            <w:vAlign w:val="center"/>
          </w:tcPr>
          <w:p w14:paraId="54A4BDD7">
            <w:pPr>
              <w:widowControl/>
              <w:adjustRightInd/>
              <w:snapToGrid/>
              <w:ind w:firstLine="0" w:firstLineChars="0"/>
              <w:jc w:val="left"/>
              <w:textAlignment w:val="center"/>
              <w:rPr>
                <w:rFonts w:hint="eastAsia" w:eastAsia="宋体" w:cs="宋体"/>
                <w:color w:val="000000"/>
                <w:spacing w:val="0"/>
                <w:kern w:val="0"/>
                <w:sz w:val="16"/>
                <w:szCs w:val="16"/>
                <w:lang w:bidi="ar"/>
              </w:rPr>
            </w:pPr>
            <w:r>
              <w:rPr>
                <w:rFonts w:hint="eastAsia" w:eastAsia="宋体" w:cs="宋体"/>
                <w:color w:val="000000"/>
                <w:spacing w:val="0"/>
                <w:kern w:val="0"/>
                <w:sz w:val="16"/>
                <w:szCs w:val="16"/>
                <w:lang w:bidi="ar"/>
              </w:rPr>
              <w:t>移动护理组网建设由医院自建主流无线网络</w:t>
            </w:r>
          </w:p>
        </w:tc>
      </w:tr>
      <w:tr w14:paraId="4F7A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56" w:type="pct"/>
            <w:shd w:val="clear" w:color="auto" w:fill="FFFFFF"/>
            <w:vAlign w:val="center"/>
          </w:tcPr>
          <w:p w14:paraId="141C8EE3">
            <w:pPr>
              <w:widowControl/>
              <w:adjustRightInd/>
              <w:snapToGrid/>
              <w:ind w:firstLine="0" w:firstLineChars="0"/>
              <w:jc w:val="center"/>
              <w:textAlignment w:val="center"/>
              <w:rPr>
                <w:rFonts w:hint="eastAsia" w:eastAsia="宋体" w:cs="宋体"/>
                <w:color w:val="000000"/>
                <w:spacing w:val="0"/>
                <w:kern w:val="0"/>
                <w:sz w:val="16"/>
                <w:szCs w:val="16"/>
                <w:lang w:bidi="ar"/>
              </w:rPr>
            </w:pPr>
            <w:r>
              <w:rPr>
                <w:rFonts w:hint="eastAsia" w:eastAsia="宋体" w:cs="宋体"/>
                <w:color w:val="000000"/>
                <w:spacing w:val="0"/>
                <w:kern w:val="0"/>
                <w:sz w:val="20"/>
                <w:szCs w:val="20"/>
                <w:lang w:val="en-US" w:eastAsia="zh-CN" w:bidi="ar"/>
              </w:rPr>
              <w:t>系统整合</w:t>
            </w:r>
          </w:p>
        </w:tc>
        <w:tc>
          <w:tcPr>
            <w:tcW w:w="3436" w:type="pct"/>
            <w:shd w:val="clear" w:color="auto" w:fill="auto"/>
            <w:vAlign w:val="center"/>
          </w:tcPr>
          <w:p w14:paraId="5C1E8BE1">
            <w:pPr>
              <w:widowControl/>
              <w:adjustRightInd/>
              <w:snapToGrid/>
              <w:ind w:firstLine="0" w:firstLineChars="0"/>
              <w:jc w:val="left"/>
              <w:textAlignment w:val="center"/>
              <w:rPr>
                <w:rFonts w:hint="eastAsia" w:eastAsia="宋体" w:cs="宋体"/>
                <w:color w:val="000000"/>
                <w:spacing w:val="0"/>
                <w:kern w:val="0"/>
                <w:sz w:val="16"/>
                <w:szCs w:val="16"/>
                <w:lang w:bidi="ar"/>
              </w:rPr>
            </w:pPr>
            <w:r>
              <w:rPr>
                <w:rFonts w:hint="eastAsia" w:eastAsia="宋体" w:cs="宋体"/>
                <w:color w:val="000000"/>
                <w:spacing w:val="0"/>
                <w:sz w:val="16"/>
                <w:szCs w:val="16"/>
              </w:rPr>
              <w:t>本项目为交钥匙工程（</w:t>
            </w:r>
            <w:r>
              <w:rPr>
                <w:rFonts w:hint="eastAsia" w:eastAsia="宋体" w:cs="宋体"/>
                <w:color w:val="000000"/>
                <w:spacing w:val="0"/>
                <w:sz w:val="16"/>
                <w:szCs w:val="16"/>
                <w:lang w:val="en-US" w:eastAsia="zh-CN"/>
              </w:rPr>
              <w:t>本项目需与本院HIS、LIS、PACS、微信公众号等系统对接，</w:t>
            </w:r>
            <w:r>
              <w:rPr>
                <w:rFonts w:hint="eastAsia" w:eastAsia="宋体" w:cs="宋体"/>
                <w:color w:val="000000"/>
                <w:spacing w:val="0"/>
                <w:sz w:val="16"/>
                <w:szCs w:val="16"/>
              </w:rPr>
              <w:t>涉及的所有接口开发</w:t>
            </w:r>
            <w:r>
              <w:rPr>
                <w:rFonts w:hint="eastAsia" w:eastAsia="宋体" w:cs="宋体"/>
                <w:color w:val="000000"/>
                <w:spacing w:val="0"/>
                <w:sz w:val="16"/>
                <w:szCs w:val="16"/>
                <w:lang w:val="en-US" w:eastAsia="zh-CN"/>
              </w:rPr>
              <w:t>和</w:t>
            </w:r>
            <w:r>
              <w:rPr>
                <w:rFonts w:hint="eastAsia" w:eastAsia="宋体" w:cs="宋体"/>
                <w:color w:val="000000"/>
                <w:spacing w:val="0"/>
                <w:sz w:val="16"/>
                <w:szCs w:val="16"/>
              </w:rPr>
              <w:t>对</w:t>
            </w:r>
            <w:r>
              <w:rPr>
                <w:rFonts w:hint="eastAsia" w:eastAsia="宋体" w:cs="宋体"/>
                <w:color w:val="000000"/>
                <w:spacing w:val="0"/>
                <w:sz w:val="16"/>
                <w:szCs w:val="16"/>
                <w:lang w:val="en-US" w:eastAsia="zh-CN"/>
              </w:rPr>
              <w:t>接</w:t>
            </w:r>
            <w:r>
              <w:rPr>
                <w:rFonts w:hint="eastAsia" w:eastAsia="宋体" w:cs="宋体"/>
                <w:color w:val="000000"/>
                <w:spacing w:val="0"/>
                <w:sz w:val="16"/>
                <w:szCs w:val="16"/>
                <w:lang w:eastAsia="zh-CN"/>
              </w:rPr>
              <w:t>、</w:t>
            </w:r>
            <w:r>
              <w:rPr>
                <w:rFonts w:hint="eastAsia" w:eastAsia="宋体" w:cs="宋体"/>
                <w:color w:val="000000"/>
                <w:spacing w:val="0"/>
                <w:sz w:val="16"/>
                <w:szCs w:val="16"/>
              </w:rPr>
              <w:t>技术服务、安装调试、拆除、出渣、运输、人工费、培训费、售后、税费等费用）</w:t>
            </w:r>
          </w:p>
        </w:tc>
        <w:tc>
          <w:tcPr>
            <w:tcW w:w="277" w:type="pct"/>
            <w:shd w:val="clear" w:color="auto" w:fill="FFFFFF"/>
            <w:noWrap/>
            <w:vAlign w:val="center"/>
          </w:tcPr>
          <w:p w14:paraId="30167D39">
            <w:pPr>
              <w:widowControl/>
              <w:adjustRightInd/>
              <w:snapToGrid/>
              <w:ind w:firstLine="0" w:firstLineChars="0"/>
              <w:jc w:val="center"/>
              <w:textAlignment w:val="center"/>
              <w:rPr>
                <w:rFonts w:hint="eastAsia" w:eastAsia="宋体" w:cs="宋体"/>
                <w:color w:val="000000"/>
                <w:spacing w:val="0"/>
                <w:kern w:val="0"/>
                <w:sz w:val="16"/>
                <w:szCs w:val="16"/>
                <w:lang w:bidi="ar"/>
              </w:rPr>
            </w:pPr>
          </w:p>
        </w:tc>
        <w:tc>
          <w:tcPr>
            <w:tcW w:w="247" w:type="pct"/>
            <w:vAlign w:val="center"/>
          </w:tcPr>
          <w:p w14:paraId="55F6A3BC">
            <w:pPr>
              <w:widowControl/>
              <w:adjustRightInd/>
              <w:snapToGrid/>
              <w:ind w:firstLine="0" w:firstLineChars="0"/>
              <w:jc w:val="center"/>
              <w:textAlignment w:val="center"/>
              <w:rPr>
                <w:rFonts w:hint="eastAsia" w:eastAsia="宋体" w:cs="宋体"/>
                <w:color w:val="000000"/>
                <w:spacing w:val="0"/>
                <w:kern w:val="0"/>
                <w:sz w:val="16"/>
                <w:szCs w:val="16"/>
                <w:lang w:bidi="ar"/>
              </w:rPr>
            </w:pPr>
          </w:p>
        </w:tc>
        <w:tc>
          <w:tcPr>
            <w:tcW w:w="584" w:type="pct"/>
            <w:vAlign w:val="center"/>
          </w:tcPr>
          <w:p w14:paraId="2CEF5237">
            <w:pPr>
              <w:widowControl/>
              <w:adjustRightInd/>
              <w:snapToGrid/>
              <w:ind w:firstLine="0" w:firstLineChars="0"/>
              <w:jc w:val="left"/>
              <w:textAlignment w:val="center"/>
              <w:rPr>
                <w:rFonts w:hint="eastAsia" w:eastAsia="宋体" w:cs="宋体"/>
                <w:color w:val="000000"/>
                <w:spacing w:val="0"/>
                <w:kern w:val="0"/>
                <w:sz w:val="16"/>
                <w:szCs w:val="16"/>
                <w:lang w:bidi="ar"/>
              </w:rPr>
            </w:pPr>
          </w:p>
        </w:tc>
      </w:tr>
    </w:tbl>
    <w:p w14:paraId="75EAFDFA">
      <w:pPr>
        <w:ind w:firstLine="0" w:firstLineChars="0"/>
        <w:rPr>
          <w:rFonts w:hint="eastAsia"/>
        </w:rPr>
      </w:pPr>
    </w:p>
    <w:sectPr>
      <w:pgSz w:w="16838" w:h="11906" w:orient="landscape"/>
      <w:pgMar w:top="1797" w:right="1440" w:bottom="1797" w:left="1440" w:header="851" w:footer="992" w:gutter="0"/>
      <w:pgBorders>
        <w:top w:val="single" w:color="auto" w:sz="4" w:space="1"/>
        <w:bottom w:val="single" w:color="auto" w:sz="4" w:space="1"/>
      </w:pgBorders>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20"/>
      </w:pPr>
      <w:r>
        <w:separator/>
      </w:r>
    </w:p>
  </w:endnote>
  <w:endnote w:type="continuationSeparator" w:id="1">
    <w:p>
      <w:pPr>
        <w:spacing w:line="240" w:lineRule="auto"/>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5EB2">
    <w:pPr>
      <w:pStyle w:val="15"/>
      <w:ind w:firstLine="40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67C56">
    <w:pPr>
      <w:pStyle w:val="15"/>
      <w:ind w:firstLine="40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3B49">
    <w:pPr>
      <w:pStyle w:val="15"/>
      <w:ind w:firstLine="40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6601">
    <w:pPr>
      <w:pStyle w:val="15"/>
      <w:ind w:firstLine="0" w:firstLineChars="0"/>
      <w:rPr>
        <w:rFonts w:hint="eastAsia" w:eastAsia="仿宋"/>
        <w:lang w:val="en-US" w:eastAsia="zh-CN"/>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91794">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CD91794">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移动输液</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3A336">
    <w:pPr>
      <w:pStyle w:val="15"/>
      <w:ind w:firstLine="0" w:firstLineChars="0"/>
      <w:rPr>
        <w:rFonts w:hint="eastAsia"/>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EF450">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9BEF450">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577BF">
    <w:pPr>
      <w:pStyle w:val="15"/>
      <w:ind w:firstLine="0" w:firstLineChars="0"/>
      <w:rPr>
        <w:rFonts w:hint="eastAsia"/>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166EA">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5B166EA">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移动输液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20"/>
      </w:pPr>
      <w:r>
        <w:separator/>
      </w:r>
    </w:p>
  </w:footnote>
  <w:footnote w:type="continuationSeparator" w:id="1">
    <w:p>
      <w:pPr>
        <w:spacing w:line="360" w:lineRule="auto"/>
        <w:ind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00212">
    <w:pPr>
      <w:pStyle w:val="16"/>
      <w:ind w:firstLine="0" w:firstLineChars="0"/>
      <w:rPr>
        <w:rFonts w:hint="eastAsia"/>
      </w:rPr>
    </w:pPr>
  </w:p>
  <w:p w14:paraId="2BBAFDD7">
    <w:pPr>
      <w:pStyle w:val="16"/>
      <w:ind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28CB7">
    <w:pPr>
      <w:pStyle w:val="16"/>
      <w:ind w:firstLine="40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E0B41">
    <w:pPr>
      <w:pStyle w:val="16"/>
      <w:ind w:firstLine="40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92138">
    <w:pPr>
      <w:pStyle w:val="16"/>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FF6A7">
    <w:pPr>
      <w:pStyle w:val="1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80D9C"/>
    <w:multiLevelType w:val="multilevel"/>
    <w:tmpl w:val="09080D9C"/>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16D201E4"/>
    <w:multiLevelType w:val="singleLevel"/>
    <w:tmpl w:val="16D201E4"/>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lignBordersAndEdg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MWE2ZWRlZTg2MDBkYjA0YjlkNDJkY2U3Yjc1ZjAifQ=="/>
  </w:docVars>
  <w:rsids>
    <w:rsidRoot w:val="0BEF0CA1"/>
    <w:rsid w:val="00005627"/>
    <w:rsid w:val="00006882"/>
    <w:rsid w:val="00011C73"/>
    <w:rsid w:val="000165D0"/>
    <w:rsid w:val="00023560"/>
    <w:rsid w:val="00037F72"/>
    <w:rsid w:val="000421D8"/>
    <w:rsid w:val="00043A48"/>
    <w:rsid w:val="0004521A"/>
    <w:rsid w:val="00046608"/>
    <w:rsid w:val="00047F92"/>
    <w:rsid w:val="00060779"/>
    <w:rsid w:val="000642B7"/>
    <w:rsid w:val="00064F11"/>
    <w:rsid w:val="0006714D"/>
    <w:rsid w:val="000705A4"/>
    <w:rsid w:val="000728F1"/>
    <w:rsid w:val="00076859"/>
    <w:rsid w:val="00080B3C"/>
    <w:rsid w:val="00085551"/>
    <w:rsid w:val="000978EC"/>
    <w:rsid w:val="000A1A52"/>
    <w:rsid w:val="000A2F14"/>
    <w:rsid w:val="000A38FB"/>
    <w:rsid w:val="000A41FD"/>
    <w:rsid w:val="000B3101"/>
    <w:rsid w:val="000B555A"/>
    <w:rsid w:val="000C12A3"/>
    <w:rsid w:val="000D7F1D"/>
    <w:rsid w:val="000F33FF"/>
    <w:rsid w:val="00110E27"/>
    <w:rsid w:val="00111E25"/>
    <w:rsid w:val="0012053F"/>
    <w:rsid w:val="00126497"/>
    <w:rsid w:val="00136D3C"/>
    <w:rsid w:val="00145CD6"/>
    <w:rsid w:val="00155831"/>
    <w:rsid w:val="00156AAE"/>
    <w:rsid w:val="0015730C"/>
    <w:rsid w:val="001821ED"/>
    <w:rsid w:val="001A0B05"/>
    <w:rsid w:val="001A5898"/>
    <w:rsid w:val="001C5AA5"/>
    <w:rsid w:val="001D11BD"/>
    <w:rsid w:val="001D55C7"/>
    <w:rsid w:val="001F07AA"/>
    <w:rsid w:val="001F2268"/>
    <w:rsid w:val="0020355B"/>
    <w:rsid w:val="00220BD0"/>
    <w:rsid w:val="00222BF1"/>
    <w:rsid w:val="00240AE6"/>
    <w:rsid w:val="00244D2A"/>
    <w:rsid w:val="00247001"/>
    <w:rsid w:val="00253CF5"/>
    <w:rsid w:val="0026286C"/>
    <w:rsid w:val="002704BE"/>
    <w:rsid w:val="00274C61"/>
    <w:rsid w:val="002A172C"/>
    <w:rsid w:val="002A5063"/>
    <w:rsid w:val="002A7B69"/>
    <w:rsid w:val="002A7F5A"/>
    <w:rsid w:val="002B57D4"/>
    <w:rsid w:val="002C2362"/>
    <w:rsid w:val="002C27D2"/>
    <w:rsid w:val="002D075A"/>
    <w:rsid w:val="002D3024"/>
    <w:rsid w:val="002E513C"/>
    <w:rsid w:val="002E6BAF"/>
    <w:rsid w:val="002F0D65"/>
    <w:rsid w:val="00300F59"/>
    <w:rsid w:val="00301E3E"/>
    <w:rsid w:val="00304663"/>
    <w:rsid w:val="00311BA3"/>
    <w:rsid w:val="00314244"/>
    <w:rsid w:val="00314EB7"/>
    <w:rsid w:val="00321D6E"/>
    <w:rsid w:val="00325B85"/>
    <w:rsid w:val="00325C01"/>
    <w:rsid w:val="0034655C"/>
    <w:rsid w:val="0036047C"/>
    <w:rsid w:val="00365652"/>
    <w:rsid w:val="0037295D"/>
    <w:rsid w:val="00372F25"/>
    <w:rsid w:val="00374EFC"/>
    <w:rsid w:val="003756DB"/>
    <w:rsid w:val="003767B4"/>
    <w:rsid w:val="00380C4E"/>
    <w:rsid w:val="00385565"/>
    <w:rsid w:val="003B0DD2"/>
    <w:rsid w:val="003B11DA"/>
    <w:rsid w:val="003C399F"/>
    <w:rsid w:val="003D4777"/>
    <w:rsid w:val="003D5E60"/>
    <w:rsid w:val="003E19BB"/>
    <w:rsid w:val="00402B27"/>
    <w:rsid w:val="00405E24"/>
    <w:rsid w:val="00414916"/>
    <w:rsid w:val="0042249B"/>
    <w:rsid w:val="00423DD6"/>
    <w:rsid w:val="0043693A"/>
    <w:rsid w:val="00445BC4"/>
    <w:rsid w:val="004503C1"/>
    <w:rsid w:val="004613C4"/>
    <w:rsid w:val="00470124"/>
    <w:rsid w:val="00477C33"/>
    <w:rsid w:val="00480696"/>
    <w:rsid w:val="004C3382"/>
    <w:rsid w:val="004D1F07"/>
    <w:rsid w:val="004D2EB4"/>
    <w:rsid w:val="004D4AD9"/>
    <w:rsid w:val="004E02DA"/>
    <w:rsid w:val="004E67BD"/>
    <w:rsid w:val="005324C3"/>
    <w:rsid w:val="00536B93"/>
    <w:rsid w:val="0055163D"/>
    <w:rsid w:val="00557D85"/>
    <w:rsid w:val="00564457"/>
    <w:rsid w:val="005679C0"/>
    <w:rsid w:val="00571BAE"/>
    <w:rsid w:val="00575945"/>
    <w:rsid w:val="005761D9"/>
    <w:rsid w:val="00576E52"/>
    <w:rsid w:val="00580FF0"/>
    <w:rsid w:val="0058736F"/>
    <w:rsid w:val="00593B47"/>
    <w:rsid w:val="00594425"/>
    <w:rsid w:val="005975AA"/>
    <w:rsid w:val="00597D35"/>
    <w:rsid w:val="005B7933"/>
    <w:rsid w:val="005C6556"/>
    <w:rsid w:val="005D022F"/>
    <w:rsid w:val="005D1778"/>
    <w:rsid w:val="005D58D5"/>
    <w:rsid w:val="005E0D6E"/>
    <w:rsid w:val="005E30B9"/>
    <w:rsid w:val="005F0301"/>
    <w:rsid w:val="005F3C3B"/>
    <w:rsid w:val="006011E6"/>
    <w:rsid w:val="00604D93"/>
    <w:rsid w:val="0060691C"/>
    <w:rsid w:val="00623043"/>
    <w:rsid w:val="00632461"/>
    <w:rsid w:val="00632E15"/>
    <w:rsid w:val="00634176"/>
    <w:rsid w:val="00662228"/>
    <w:rsid w:val="00666AEA"/>
    <w:rsid w:val="00690C0B"/>
    <w:rsid w:val="00692E80"/>
    <w:rsid w:val="006A3F29"/>
    <w:rsid w:val="006B781F"/>
    <w:rsid w:val="006C4F22"/>
    <w:rsid w:val="006C7CEB"/>
    <w:rsid w:val="006D3E11"/>
    <w:rsid w:val="006D3FDF"/>
    <w:rsid w:val="006D51F2"/>
    <w:rsid w:val="006E00B6"/>
    <w:rsid w:val="006E1314"/>
    <w:rsid w:val="006F350C"/>
    <w:rsid w:val="00705F1E"/>
    <w:rsid w:val="00710713"/>
    <w:rsid w:val="007120BB"/>
    <w:rsid w:val="007130C2"/>
    <w:rsid w:val="0071696A"/>
    <w:rsid w:val="00730417"/>
    <w:rsid w:val="00733E37"/>
    <w:rsid w:val="007511C9"/>
    <w:rsid w:val="00765802"/>
    <w:rsid w:val="00780575"/>
    <w:rsid w:val="007A6E01"/>
    <w:rsid w:val="007B1B46"/>
    <w:rsid w:val="007B5C41"/>
    <w:rsid w:val="007E5E0A"/>
    <w:rsid w:val="007F103A"/>
    <w:rsid w:val="007F1BB5"/>
    <w:rsid w:val="00811AD0"/>
    <w:rsid w:val="00821194"/>
    <w:rsid w:val="00821BE1"/>
    <w:rsid w:val="0082234C"/>
    <w:rsid w:val="00833361"/>
    <w:rsid w:val="00840DFA"/>
    <w:rsid w:val="0084657B"/>
    <w:rsid w:val="00866624"/>
    <w:rsid w:val="00870012"/>
    <w:rsid w:val="00873EBB"/>
    <w:rsid w:val="008911E8"/>
    <w:rsid w:val="00893817"/>
    <w:rsid w:val="008968D2"/>
    <w:rsid w:val="008A19FC"/>
    <w:rsid w:val="008A2B78"/>
    <w:rsid w:val="008A5CAC"/>
    <w:rsid w:val="00915D8B"/>
    <w:rsid w:val="009209EB"/>
    <w:rsid w:val="00920B45"/>
    <w:rsid w:val="00941CE2"/>
    <w:rsid w:val="009610EE"/>
    <w:rsid w:val="00962AB8"/>
    <w:rsid w:val="00962CEC"/>
    <w:rsid w:val="00975DE4"/>
    <w:rsid w:val="00976CDC"/>
    <w:rsid w:val="00977216"/>
    <w:rsid w:val="00996184"/>
    <w:rsid w:val="00996DC4"/>
    <w:rsid w:val="009B34C6"/>
    <w:rsid w:val="009E7EDC"/>
    <w:rsid w:val="00A02101"/>
    <w:rsid w:val="00A032DF"/>
    <w:rsid w:val="00A2361D"/>
    <w:rsid w:val="00A23650"/>
    <w:rsid w:val="00A23D1E"/>
    <w:rsid w:val="00A36831"/>
    <w:rsid w:val="00A41CBE"/>
    <w:rsid w:val="00A47A59"/>
    <w:rsid w:val="00A5567F"/>
    <w:rsid w:val="00A7259C"/>
    <w:rsid w:val="00A72EB2"/>
    <w:rsid w:val="00A83512"/>
    <w:rsid w:val="00A84AD4"/>
    <w:rsid w:val="00A91A71"/>
    <w:rsid w:val="00AA0211"/>
    <w:rsid w:val="00AA0B40"/>
    <w:rsid w:val="00AB12E8"/>
    <w:rsid w:val="00AD1400"/>
    <w:rsid w:val="00AD47FE"/>
    <w:rsid w:val="00AE0D61"/>
    <w:rsid w:val="00AE4B4B"/>
    <w:rsid w:val="00AE6EBD"/>
    <w:rsid w:val="00AF5B6B"/>
    <w:rsid w:val="00AF65EA"/>
    <w:rsid w:val="00B05EEC"/>
    <w:rsid w:val="00B21809"/>
    <w:rsid w:val="00B21F19"/>
    <w:rsid w:val="00B3227F"/>
    <w:rsid w:val="00B3436D"/>
    <w:rsid w:val="00B4328B"/>
    <w:rsid w:val="00B4368E"/>
    <w:rsid w:val="00B50FDC"/>
    <w:rsid w:val="00B53C9E"/>
    <w:rsid w:val="00B549E7"/>
    <w:rsid w:val="00B54F50"/>
    <w:rsid w:val="00B67E06"/>
    <w:rsid w:val="00B83598"/>
    <w:rsid w:val="00BA38D8"/>
    <w:rsid w:val="00BB0458"/>
    <w:rsid w:val="00BB3556"/>
    <w:rsid w:val="00BC1BE8"/>
    <w:rsid w:val="00BE247D"/>
    <w:rsid w:val="00BE2543"/>
    <w:rsid w:val="00BE7D5C"/>
    <w:rsid w:val="00BF565A"/>
    <w:rsid w:val="00C10CA7"/>
    <w:rsid w:val="00C20996"/>
    <w:rsid w:val="00C412A2"/>
    <w:rsid w:val="00C42504"/>
    <w:rsid w:val="00C52461"/>
    <w:rsid w:val="00C61E43"/>
    <w:rsid w:val="00C74479"/>
    <w:rsid w:val="00C959D4"/>
    <w:rsid w:val="00C96FE3"/>
    <w:rsid w:val="00C97379"/>
    <w:rsid w:val="00CA605E"/>
    <w:rsid w:val="00CB270B"/>
    <w:rsid w:val="00CB4CE3"/>
    <w:rsid w:val="00CB66D3"/>
    <w:rsid w:val="00CC2B43"/>
    <w:rsid w:val="00CC3A09"/>
    <w:rsid w:val="00CC46E5"/>
    <w:rsid w:val="00CD19EF"/>
    <w:rsid w:val="00CD21C8"/>
    <w:rsid w:val="00CD3C9F"/>
    <w:rsid w:val="00CE5D70"/>
    <w:rsid w:val="00D04E03"/>
    <w:rsid w:val="00D1331F"/>
    <w:rsid w:val="00D30666"/>
    <w:rsid w:val="00D4278B"/>
    <w:rsid w:val="00D56964"/>
    <w:rsid w:val="00D64D20"/>
    <w:rsid w:val="00D671B7"/>
    <w:rsid w:val="00D756D8"/>
    <w:rsid w:val="00D77CE6"/>
    <w:rsid w:val="00D86885"/>
    <w:rsid w:val="00DA6CAE"/>
    <w:rsid w:val="00DB62A7"/>
    <w:rsid w:val="00DC05C9"/>
    <w:rsid w:val="00DC54B3"/>
    <w:rsid w:val="00DE0010"/>
    <w:rsid w:val="00DE090B"/>
    <w:rsid w:val="00DE4259"/>
    <w:rsid w:val="00DE7C8C"/>
    <w:rsid w:val="00E05E30"/>
    <w:rsid w:val="00E1539F"/>
    <w:rsid w:val="00E17559"/>
    <w:rsid w:val="00E30BD1"/>
    <w:rsid w:val="00E31FA6"/>
    <w:rsid w:val="00E356E0"/>
    <w:rsid w:val="00E56F3C"/>
    <w:rsid w:val="00E64B4E"/>
    <w:rsid w:val="00E739E3"/>
    <w:rsid w:val="00E7624E"/>
    <w:rsid w:val="00E809E5"/>
    <w:rsid w:val="00E87C5C"/>
    <w:rsid w:val="00EA20DA"/>
    <w:rsid w:val="00EA7F53"/>
    <w:rsid w:val="00EB7484"/>
    <w:rsid w:val="00EB787A"/>
    <w:rsid w:val="00ED4C9B"/>
    <w:rsid w:val="00ED553C"/>
    <w:rsid w:val="00EE353F"/>
    <w:rsid w:val="00EF3E7B"/>
    <w:rsid w:val="00EF6F82"/>
    <w:rsid w:val="00F1034F"/>
    <w:rsid w:val="00F1399F"/>
    <w:rsid w:val="00F20EC3"/>
    <w:rsid w:val="00F23E72"/>
    <w:rsid w:val="00F26758"/>
    <w:rsid w:val="00F40617"/>
    <w:rsid w:val="00F43219"/>
    <w:rsid w:val="00F45CD0"/>
    <w:rsid w:val="00F464E1"/>
    <w:rsid w:val="00F56C4B"/>
    <w:rsid w:val="00F57D77"/>
    <w:rsid w:val="00F624DF"/>
    <w:rsid w:val="00F9169F"/>
    <w:rsid w:val="00FB7AA6"/>
    <w:rsid w:val="00FC2096"/>
    <w:rsid w:val="00FC5AB8"/>
    <w:rsid w:val="00FC5DC2"/>
    <w:rsid w:val="00FD00CC"/>
    <w:rsid w:val="00FD7D96"/>
    <w:rsid w:val="0112235E"/>
    <w:rsid w:val="015D2F21"/>
    <w:rsid w:val="01690B38"/>
    <w:rsid w:val="01B97DC6"/>
    <w:rsid w:val="01E2289F"/>
    <w:rsid w:val="02BF5C83"/>
    <w:rsid w:val="040E3299"/>
    <w:rsid w:val="0425282F"/>
    <w:rsid w:val="04D01B62"/>
    <w:rsid w:val="04D4072C"/>
    <w:rsid w:val="0572735F"/>
    <w:rsid w:val="070C7A64"/>
    <w:rsid w:val="071301EA"/>
    <w:rsid w:val="07476999"/>
    <w:rsid w:val="075D07B0"/>
    <w:rsid w:val="07E866C1"/>
    <w:rsid w:val="07F71334"/>
    <w:rsid w:val="08B9637A"/>
    <w:rsid w:val="08BF2863"/>
    <w:rsid w:val="095435C8"/>
    <w:rsid w:val="09590288"/>
    <w:rsid w:val="098E18F0"/>
    <w:rsid w:val="0A730962"/>
    <w:rsid w:val="0B2F4CCC"/>
    <w:rsid w:val="0BC7741B"/>
    <w:rsid w:val="0BEF0CA1"/>
    <w:rsid w:val="0CD11D4F"/>
    <w:rsid w:val="0DF30E48"/>
    <w:rsid w:val="0DFC1FAF"/>
    <w:rsid w:val="0E2E7F42"/>
    <w:rsid w:val="0F723DBF"/>
    <w:rsid w:val="0FDC0B7B"/>
    <w:rsid w:val="10890561"/>
    <w:rsid w:val="112B4B27"/>
    <w:rsid w:val="11DB16F7"/>
    <w:rsid w:val="12084274"/>
    <w:rsid w:val="12152645"/>
    <w:rsid w:val="125420CD"/>
    <w:rsid w:val="125F568F"/>
    <w:rsid w:val="12AF3796"/>
    <w:rsid w:val="12BC195A"/>
    <w:rsid w:val="130F42F9"/>
    <w:rsid w:val="13727A61"/>
    <w:rsid w:val="142800F1"/>
    <w:rsid w:val="144B61C5"/>
    <w:rsid w:val="14AF10AD"/>
    <w:rsid w:val="1526749B"/>
    <w:rsid w:val="16C45E8A"/>
    <w:rsid w:val="16D848FA"/>
    <w:rsid w:val="173924D9"/>
    <w:rsid w:val="175F5ED2"/>
    <w:rsid w:val="17877A09"/>
    <w:rsid w:val="185D3535"/>
    <w:rsid w:val="1AEB240F"/>
    <w:rsid w:val="1AFD3750"/>
    <w:rsid w:val="1BA92A6C"/>
    <w:rsid w:val="1D51693C"/>
    <w:rsid w:val="1DB02966"/>
    <w:rsid w:val="1DD315F6"/>
    <w:rsid w:val="1E090B5B"/>
    <w:rsid w:val="1F970A42"/>
    <w:rsid w:val="20005D86"/>
    <w:rsid w:val="22033AF9"/>
    <w:rsid w:val="22D61673"/>
    <w:rsid w:val="23051C2D"/>
    <w:rsid w:val="2355637B"/>
    <w:rsid w:val="23D26A5E"/>
    <w:rsid w:val="24894310"/>
    <w:rsid w:val="24B959FA"/>
    <w:rsid w:val="25207359"/>
    <w:rsid w:val="25966814"/>
    <w:rsid w:val="269B6379"/>
    <w:rsid w:val="26C30642"/>
    <w:rsid w:val="271D45A0"/>
    <w:rsid w:val="279509D1"/>
    <w:rsid w:val="2805647B"/>
    <w:rsid w:val="28F42CC8"/>
    <w:rsid w:val="2A2A0FA3"/>
    <w:rsid w:val="2A6B5B17"/>
    <w:rsid w:val="2A865490"/>
    <w:rsid w:val="2ABE30FE"/>
    <w:rsid w:val="2BC613C5"/>
    <w:rsid w:val="2BE5303F"/>
    <w:rsid w:val="2D62326F"/>
    <w:rsid w:val="2DB10405"/>
    <w:rsid w:val="2DB9735D"/>
    <w:rsid w:val="2DFF4C1E"/>
    <w:rsid w:val="2F1A316B"/>
    <w:rsid w:val="2FC035C9"/>
    <w:rsid w:val="2FCB23AA"/>
    <w:rsid w:val="2FFB5F7E"/>
    <w:rsid w:val="311F5BA5"/>
    <w:rsid w:val="32E83CED"/>
    <w:rsid w:val="339B2753"/>
    <w:rsid w:val="34411866"/>
    <w:rsid w:val="34AF2E08"/>
    <w:rsid w:val="34BC705A"/>
    <w:rsid w:val="354B4DF1"/>
    <w:rsid w:val="36FE3DC9"/>
    <w:rsid w:val="371948CE"/>
    <w:rsid w:val="376F7377"/>
    <w:rsid w:val="37F3271D"/>
    <w:rsid w:val="380D7CB5"/>
    <w:rsid w:val="39355B82"/>
    <w:rsid w:val="3AA20D85"/>
    <w:rsid w:val="3AFD6245"/>
    <w:rsid w:val="3B0C09FC"/>
    <w:rsid w:val="3BAF1801"/>
    <w:rsid w:val="3BC2363E"/>
    <w:rsid w:val="3CEC404A"/>
    <w:rsid w:val="3D4F6B11"/>
    <w:rsid w:val="3DB44D7A"/>
    <w:rsid w:val="3DC35563"/>
    <w:rsid w:val="3E4D747E"/>
    <w:rsid w:val="3E681C51"/>
    <w:rsid w:val="3E7D1BC0"/>
    <w:rsid w:val="3E8E72A4"/>
    <w:rsid w:val="3FD44CA2"/>
    <w:rsid w:val="400B29DD"/>
    <w:rsid w:val="40143A93"/>
    <w:rsid w:val="40C046DB"/>
    <w:rsid w:val="41802BE2"/>
    <w:rsid w:val="41C977E4"/>
    <w:rsid w:val="42EE1632"/>
    <w:rsid w:val="43146B2D"/>
    <w:rsid w:val="442D5AA9"/>
    <w:rsid w:val="443B36CB"/>
    <w:rsid w:val="4449014C"/>
    <w:rsid w:val="44694A95"/>
    <w:rsid w:val="44840DCF"/>
    <w:rsid w:val="44C06CF1"/>
    <w:rsid w:val="466D41CF"/>
    <w:rsid w:val="46771129"/>
    <w:rsid w:val="46C830DB"/>
    <w:rsid w:val="477648D2"/>
    <w:rsid w:val="48D15669"/>
    <w:rsid w:val="48DF4BE0"/>
    <w:rsid w:val="491A4851"/>
    <w:rsid w:val="497172BC"/>
    <w:rsid w:val="49946B7F"/>
    <w:rsid w:val="4B586650"/>
    <w:rsid w:val="4BA705B8"/>
    <w:rsid w:val="4BF12F55"/>
    <w:rsid w:val="4C4035C4"/>
    <w:rsid w:val="4C4A4AFD"/>
    <w:rsid w:val="4C544E82"/>
    <w:rsid w:val="4CA14DC3"/>
    <w:rsid w:val="4CEB7AF1"/>
    <w:rsid w:val="4D5E3470"/>
    <w:rsid w:val="4E60455B"/>
    <w:rsid w:val="4EBD1E45"/>
    <w:rsid w:val="4F6C6D0A"/>
    <w:rsid w:val="4FC83A95"/>
    <w:rsid w:val="50C5607C"/>
    <w:rsid w:val="51397790"/>
    <w:rsid w:val="51873A33"/>
    <w:rsid w:val="52383F17"/>
    <w:rsid w:val="52FF6BA2"/>
    <w:rsid w:val="53AC6F2F"/>
    <w:rsid w:val="53B30C49"/>
    <w:rsid w:val="53B44DF8"/>
    <w:rsid w:val="53BF5D3E"/>
    <w:rsid w:val="54317CFA"/>
    <w:rsid w:val="54422C91"/>
    <w:rsid w:val="54431BE6"/>
    <w:rsid w:val="54B66C8D"/>
    <w:rsid w:val="55D73864"/>
    <w:rsid w:val="56064020"/>
    <w:rsid w:val="56154327"/>
    <w:rsid w:val="56F26A1B"/>
    <w:rsid w:val="56FC4557"/>
    <w:rsid w:val="579415D2"/>
    <w:rsid w:val="583C0700"/>
    <w:rsid w:val="58E108DC"/>
    <w:rsid w:val="59ED12DB"/>
    <w:rsid w:val="5AE12934"/>
    <w:rsid w:val="5AF75D19"/>
    <w:rsid w:val="5B1E34C1"/>
    <w:rsid w:val="5B3C1994"/>
    <w:rsid w:val="5B9F3D6F"/>
    <w:rsid w:val="5C285ED6"/>
    <w:rsid w:val="5C5B1A35"/>
    <w:rsid w:val="5CAC69AD"/>
    <w:rsid w:val="5CB851EB"/>
    <w:rsid w:val="5CE25EEE"/>
    <w:rsid w:val="5D8626D1"/>
    <w:rsid w:val="5DD912C8"/>
    <w:rsid w:val="5E2D4DEB"/>
    <w:rsid w:val="5E3159CF"/>
    <w:rsid w:val="5E3F2F8D"/>
    <w:rsid w:val="5E753C59"/>
    <w:rsid w:val="5EE04E7B"/>
    <w:rsid w:val="5EF5177D"/>
    <w:rsid w:val="5FD8738E"/>
    <w:rsid w:val="60181A70"/>
    <w:rsid w:val="60281CDB"/>
    <w:rsid w:val="60D359AD"/>
    <w:rsid w:val="611831F6"/>
    <w:rsid w:val="61585249"/>
    <w:rsid w:val="61F168DA"/>
    <w:rsid w:val="620D5365"/>
    <w:rsid w:val="62AD316A"/>
    <w:rsid w:val="62E71ACA"/>
    <w:rsid w:val="63512B56"/>
    <w:rsid w:val="64DC1AC7"/>
    <w:rsid w:val="659811B8"/>
    <w:rsid w:val="663B46AF"/>
    <w:rsid w:val="663F56CE"/>
    <w:rsid w:val="666E773F"/>
    <w:rsid w:val="66D04237"/>
    <w:rsid w:val="66EA6989"/>
    <w:rsid w:val="66EB7D8E"/>
    <w:rsid w:val="68B8411E"/>
    <w:rsid w:val="68E00114"/>
    <w:rsid w:val="691D083C"/>
    <w:rsid w:val="69336325"/>
    <w:rsid w:val="6999595C"/>
    <w:rsid w:val="6BBE6A78"/>
    <w:rsid w:val="6C27697C"/>
    <w:rsid w:val="6C9B0ABC"/>
    <w:rsid w:val="6DF349DB"/>
    <w:rsid w:val="6E5B5A38"/>
    <w:rsid w:val="6E975DEB"/>
    <w:rsid w:val="6EEA6FDA"/>
    <w:rsid w:val="6F3A1C8E"/>
    <w:rsid w:val="6F625643"/>
    <w:rsid w:val="6FC909AE"/>
    <w:rsid w:val="70645B33"/>
    <w:rsid w:val="70C054CB"/>
    <w:rsid w:val="70D270B3"/>
    <w:rsid w:val="712B7D26"/>
    <w:rsid w:val="727928B2"/>
    <w:rsid w:val="72E9126D"/>
    <w:rsid w:val="72F0486A"/>
    <w:rsid w:val="73164B1F"/>
    <w:rsid w:val="737347C9"/>
    <w:rsid w:val="738054AB"/>
    <w:rsid w:val="73920130"/>
    <w:rsid w:val="73A932C2"/>
    <w:rsid w:val="74903746"/>
    <w:rsid w:val="75AE542D"/>
    <w:rsid w:val="76C52A95"/>
    <w:rsid w:val="775022F6"/>
    <w:rsid w:val="776907C3"/>
    <w:rsid w:val="777635F3"/>
    <w:rsid w:val="77786B76"/>
    <w:rsid w:val="77CC209C"/>
    <w:rsid w:val="77E63EC7"/>
    <w:rsid w:val="78BF3B74"/>
    <w:rsid w:val="79B02C94"/>
    <w:rsid w:val="79C95735"/>
    <w:rsid w:val="7A2E7D12"/>
    <w:rsid w:val="7A965EA7"/>
    <w:rsid w:val="7BE2774B"/>
    <w:rsid w:val="7C674968"/>
    <w:rsid w:val="7CDF3EC9"/>
    <w:rsid w:val="7E4E10CF"/>
    <w:rsid w:val="7ED4791A"/>
    <w:rsid w:val="7F1B63EB"/>
    <w:rsid w:val="7F297604"/>
    <w:rsid w:val="7FE77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520" w:firstLineChars="200"/>
      <w:jc w:val="both"/>
    </w:pPr>
    <w:rPr>
      <w:rFonts w:ascii="宋体" w:hAnsi="宋体" w:eastAsia="仿宋" w:cs="Times New Roman"/>
      <w:spacing w:val="10"/>
      <w:kern w:val="2"/>
      <w:sz w:val="24"/>
      <w:szCs w:val="21"/>
      <w:lang w:val="en-US" w:eastAsia="zh-CN" w:bidi="ar-SA"/>
    </w:rPr>
  </w:style>
  <w:style w:type="paragraph" w:styleId="3">
    <w:name w:val="heading 1"/>
    <w:basedOn w:val="1"/>
    <w:next w:val="1"/>
    <w:qFormat/>
    <w:uiPriority w:val="0"/>
    <w:pPr>
      <w:keepNext/>
      <w:keepLines/>
      <w:pageBreakBefore/>
      <w:widowControl/>
      <w:numPr>
        <w:ilvl w:val="0"/>
        <w:numId w:val="1"/>
      </w:numPr>
      <w:ind w:firstLine="0" w:firstLineChars="0"/>
      <w:jc w:val="left"/>
      <w:outlineLvl w:val="0"/>
    </w:pPr>
    <w:rPr>
      <w:rFonts w:ascii="仿宋_GB2312" w:hAnsi="仿宋_GB2312" w:eastAsia="仿宋_GB2312"/>
      <w:b/>
      <w:bCs/>
      <w:kern w:val="0"/>
      <w:sz w:val="36"/>
      <w:szCs w:val="36"/>
    </w:rPr>
  </w:style>
  <w:style w:type="paragraph" w:styleId="4">
    <w:name w:val="heading 2"/>
    <w:basedOn w:val="1"/>
    <w:next w:val="1"/>
    <w:link w:val="31"/>
    <w:qFormat/>
    <w:uiPriority w:val="0"/>
    <w:pPr>
      <w:keepNext/>
      <w:keepLines/>
      <w:widowControl/>
      <w:numPr>
        <w:ilvl w:val="1"/>
        <w:numId w:val="1"/>
      </w:numPr>
      <w:shd w:val="clear" w:color="auto" w:fill="FFFFFF"/>
      <w:tabs>
        <w:tab w:val="left" w:pos="420"/>
      </w:tabs>
      <w:kinsoku w:val="0"/>
      <w:overflowPunct w:val="0"/>
      <w:autoSpaceDE w:val="0"/>
      <w:autoSpaceDN w:val="0"/>
      <w:ind w:firstLine="0" w:firstLineChars="0"/>
      <w:jc w:val="left"/>
      <w:textAlignment w:val="center"/>
      <w:outlineLvl w:val="1"/>
    </w:pPr>
    <w:rPr>
      <w:rFonts w:ascii="仿宋_GB2312" w:hAnsi="仿宋_GB2312"/>
      <w:b/>
      <w:bCs/>
      <w:sz w:val="30"/>
      <w:szCs w:val="28"/>
    </w:rPr>
  </w:style>
  <w:style w:type="paragraph" w:styleId="5">
    <w:name w:val="heading 3"/>
    <w:basedOn w:val="1"/>
    <w:next w:val="1"/>
    <w:link w:val="36"/>
    <w:unhideWhenUsed/>
    <w:qFormat/>
    <w:uiPriority w:val="0"/>
    <w:pPr>
      <w:keepNext/>
      <w:keepLines/>
      <w:numPr>
        <w:ilvl w:val="2"/>
        <w:numId w:val="1"/>
      </w:numPr>
      <w:ind w:firstLine="0" w:firstLineChars="0"/>
      <w:outlineLvl w:val="2"/>
    </w:pPr>
    <w:rPr>
      <w:b/>
      <w:sz w:val="30"/>
    </w:rPr>
  </w:style>
  <w:style w:type="paragraph" w:styleId="6">
    <w:name w:val="heading 4"/>
    <w:basedOn w:val="1"/>
    <w:next w:val="1"/>
    <w:unhideWhenUsed/>
    <w:qFormat/>
    <w:uiPriority w:val="0"/>
    <w:pPr>
      <w:keepNext/>
      <w:keepLines/>
      <w:numPr>
        <w:ilvl w:val="3"/>
        <w:numId w:val="1"/>
      </w:numPr>
      <w:spacing w:before="280" w:after="290" w:line="372" w:lineRule="auto"/>
      <w:ind w:firstLine="0" w:firstLineChars="0"/>
      <w:outlineLvl w:val="3"/>
    </w:pPr>
    <w:rPr>
      <w:rFonts w:ascii="Arial" w:hAnsi="Arial"/>
      <w:b/>
      <w:sz w:val="30"/>
    </w:rPr>
  </w:style>
  <w:style w:type="paragraph" w:styleId="7">
    <w:name w:val="heading 5"/>
    <w:basedOn w:val="1"/>
    <w:next w:val="1"/>
    <w:semiHidden/>
    <w:unhideWhenUsed/>
    <w:qFormat/>
    <w:uiPriority w:val="0"/>
    <w:pPr>
      <w:keepNext/>
      <w:keepLines/>
      <w:numPr>
        <w:ilvl w:val="4"/>
        <w:numId w:val="1"/>
      </w:numPr>
      <w:spacing w:before="280" w:after="290" w:line="372" w:lineRule="auto"/>
      <w:ind w:firstLine="0"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10">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5"/>
    <w:unhideWhenUsed/>
    <w:qFormat/>
    <w:uiPriority w:val="99"/>
    <w:pPr>
      <w:spacing w:after="120"/>
    </w:pPr>
  </w:style>
  <w:style w:type="paragraph" w:styleId="12">
    <w:name w:val="Normal Indent"/>
    <w:basedOn w:val="1"/>
    <w:qFormat/>
    <w:uiPriority w:val="0"/>
    <w:pPr>
      <w:ind w:firstLine="200"/>
    </w:pPr>
    <w:rPr>
      <w:kern w:val="0"/>
    </w:rPr>
  </w:style>
  <w:style w:type="paragraph" w:styleId="13">
    <w:name w:val="caption"/>
    <w:basedOn w:val="1"/>
    <w:next w:val="1"/>
    <w:semiHidden/>
    <w:unhideWhenUsed/>
    <w:qFormat/>
    <w:uiPriority w:val="0"/>
    <w:rPr>
      <w:rFonts w:ascii="Arial" w:hAnsi="Arial" w:eastAsia="黑体"/>
      <w:sz w:val="20"/>
    </w:rPr>
  </w:style>
  <w:style w:type="paragraph" w:styleId="14">
    <w:name w:val="annotation text"/>
    <w:basedOn w:val="1"/>
    <w:link w:val="32"/>
    <w:qFormat/>
    <w:uiPriority w:val="0"/>
    <w:pPr>
      <w:jc w:val="left"/>
    </w:pPr>
  </w:style>
  <w:style w:type="paragraph" w:styleId="15">
    <w:name w:val="footer"/>
    <w:basedOn w:val="1"/>
    <w:qFormat/>
    <w:uiPriority w:val="0"/>
    <w:pPr>
      <w:tabs>
        <w:tab w:val="center" w:pos="4153"/>
        <w:tab w:val="right" w:pos="8306"/>
      </w:tabs>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qFormat/>
    <w:uiPriority w:val="99"/>
    <w:rPr>
      <w:rFonts w:ascii="Times New Roman" w:hAnsi="Times New Roman"/>
      <w:szCs w:val="24"/>
    </w:rPr>
  </w:style>
  <w:style w:type="paragraph" w:styleId="20">
    <w:name w:val="annotation subject"/>
    <w:basedOn w:val="14"/>
    <w:next w:val="14"/>
    <w:link w:val="33"/>
    <w:qFormat/>
    <w:uiPriority w:val="0"/>
    <w:rPr>
      <w:b/>
      <w:bCs/>
    </w:r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qFormat/>
    <w:uiPriority w:val="0"/>
    <w:rPr>
      <w:sz w:val="21"/>
      <w:szCs w:val="21"/>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
    <w:name w:val="*正文"/>
    <w:basedOn w:val="1"/>
    <w:qFormat/>
    <w:uiPriority w:val="0"/>
    <w:pPr>
      <w:widowControl/>
      <w:ind w:firstLine="200"/>
    </w:pPr>
    <w:rPr>
      <w:rFonts w:ascii="仿宋_GB2312" w:hAnsi="Times New Roman" w:eastAsia="仿宋_GB2312"/>
      <w:spacing w:val="0"/>
      <w:szCs w:val="28"/>
    </w:rPr>
  </w:style>
  <w:style w:type="paragraph" w:customStyle="1" w:styleId="28">
    <w:name w:val="样式  + 首行缩进:  2 字符"/>
    <w:basedOn w:val="1"/>
    <w:qFormat/>
    <w:uiPriority w:val="99"/>
    <w:pPr>
      <w:ind w:firstLine="524"/>
    </w:pPr>
    <w:rPr>
      <w:snapToGrid w:val="0"/>
      <w:spacing w:val="11"/>
      <w:kern w:val="0"/>
      <w:szCs w:val="24"/>
    </w:rPr>
  </w:style>
  <w:style w:type="table" w:customStyle="1" w:styleId="29">
    <w:name w:val="Table Normal"/>
    <w:semiHidden/>
    <w:unhideWhenUsed/>
    <w:qFormat/>
    <w:uiPriority w:val="0"/>
    <w:tblPr>
      <w:tblCellMar>
        <w:top w:w="0" w:type="dxa"/>
        <w:left w:w="0" w:type="dxa"/>
        <w:bottom w:w="0" w:type="dxa"/>
        <w:right w:w="0" w:type="dxa"/>
      </w:tblCellMar>
    </w:tblPr>
  </w:style>
  <w:style w:type="table" w:customStyle="1" w:styleId="30">
    <w:name w:val="Table Normal1"/>
    <w:semiHidden/>
    <w:unhideWhenUsed/>
    <w:qFormat/>
    <w:uiPriority w:val="0"/>
    <w:tblPr>
      <w:tblCellMar>
        <w:top w:w="0" w:type="dxa"/>
        <w:left w:w="0" w:type="dxa"/>
        <w:bottom w:w="0" w:type="dxa"/>
        <w:right w:w="0" w:type="dxa"/>
      </w:tblCellMar>
    </w:tblPr>
  </w:style>
  <w:style w:type="character" w:customStyle="1" w:styleId="31">
    <w:name w:val="标题 2 字符"/>
    <w:basedOn w:val="22"/>
    <w:link w:val="4"/>
    <w:qFormat/>
    <w:uiPriority w:val="0"/>
    <w:rPr>
      <w:rFonts w:ascii="仿宋_GB2312" w:hAnsi="仿宋_GB2312" w:eastAsia="仿宋" w:cs="Times New Roman"/>
      <w:b/>
      <w:bCs/>
      <w:spacing w:val="10"/>
      <w:kern w:val="2"/>
      <w:sz w:val="30"/>
      <w:szCs w:val="28"/>
      <w:shd w:val="clear" w:color="auto" w:fill="FFFFFF"/>
    </w:rPr>
  </w:style>
  <w:style w:type="character" w:customStyle="1" w:styleId="32">
    <w:name w:val="批注文字 字符"/>
    <w:basedOn w:val="22"/>
    <w:link w:val="14"/>
    <w:qFormat/>
    <w:uiPriority w:val="0"/>
    <w:rPr>
      <w:rFonts w:ascii="宋体" w:hAnsi="宋体" w:eastAsia="仿宋" w:cs="Times New Roman"/>
      <w:spacing w:val="10"/>
      <w:kern w:val="2"/>
      <w:sz w:val="24"/>
      <w:szCs w:val="21"/>
    </w:rPr>
  </w:style>
  <w:style w:type="character" w:customStyle="1" w:styleId="33">
    <w:name w:val="批注主题 字符"/>
    <w:basedOn w:val="32"/>
    <w:link w:val="20"/>
    <w:qFormat/>
    <w:uiPriority w:val="0"/>
    <w:rPr>
      <w:rFonts w:ascii="宋体" w:hAnsi="宋体" w:eastAsia="仿宋" w:cs="Times New Roman"/>
      <w:b/>
      <w:bCs/>
      <w:spacing w:val="10"/>
      <w:kern w:val="2"/>
      <w:sz w:val="24"/>
      <w:szCs w:val="21"/>
    </w:rPr>
  </w:style>
  <w:style w:type="paragraph" w:customStyle="1" w:styleId="34">
    <w:name w:val="修订1"/>
    <w:hidden/>
    <w:unhideWhenUsed/>
    <w:qFormat/>
    <w:uiPriority w:val="99"/>
    <w:rPr>
      <w:rFonts w:ascii="宋体" w:hAnsi="宋体" w:eastAsia="仿宋" w:cs="Times New Roman"/>
      <w:spacing w:val="10"/>
      <w:kern w:val="2"/>
      <w:sz w:val="24"/>
      <w:szCs w:val="21"/>
      <w:lang w:val="en-US" w:eastAsia="zh-CN" w:bidi="ar-SA"/>
    </w:rPr>
  </w:style>
  <w:style w:type="character" w:customStyle="1" w:styleId="35">
    <w:name w:val="正文文本 字符"/>
    <w:basedOn w:val="22"/>
    <w:link w:val="2"/>
    <w:qFormat/>
    <w:uiPriority w:val="99"/>
    <w:rPr>
      <w:rFonts w:ascii="宋体" w:hAnsi="宋体" w:eastAsia="仿宋" w:cs="Times New Roman"/>
      <w:spacing w:val="10"/>
      <w:kern w:val="2"/>
      <w:sz w:val="24"/>
      <w:szCs w:val="21"/>
    </w:rPr>
  </w:style>
  <w:style w:type="character" w:customStyle="1" w:styleId="36">
    <w:name w:val="标题 3 字符"/>
    <w:basedOn w:val="22"/>
    <w:link w:val="5"/>
    <w:qFormat/>
    <w:uiPriority w:val="0"/>
    <w:rPr>
      <w:rFonts w:ascii="宋体" w:hAnsi="宋体" w:eastAsia="仿宋" w:cs="Times New Roman"/>
      <w:b/>
      <w:spacing w:val="10"/>
      <w:kern w:val="2"/>
      <w:sz w:val="3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jpe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DBB99-31A4-4705-A825-F59C803E81BD}">
  <ds:schemaRefs/>
</ds:datastoreItem>
</file>

<file path=docProps/app.xml><?xml version="1.0" encoding="utf-8"?>
<Properties xmlns="http://schemas.openxmlformats.org/officeDocument/2006/extended-properties" xmlns:vt="http://schemas.openxmlformats.org/officeDocument/2006/docPropsVTypes">
  <Template>Normal</Template>
  <Company>中讯邮电咨询设计院有限公司</Company>
  <Pages>50</Pages>
  <Words>24905</Words>
  <Characters>25736</Characters>
  <Lines>216</Lines>
  <Paragraphs>60</Paragraphs>
  <TotalTime>3</TotalTime>
  <ScaleCrop>false</ScaleCrop>
  <LinksUpToDate>false</LinksUpToDate>
  <CharactersWithSpaces>26397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2024-08-05T05:28:00Z</dcterms:created>
  <dc:creator>TL</dc:creator>
  <cp:lastModifiedBy>小六</cp:lastModifiedBy>
  <cp:lastPrinted>2024-09-29T02:54:00Z</cp:lastPrinted>
  <dcterms:modified xsi:type="dcterms:W3CDTF">2024-10-23T02:17:50Z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1B61FA460E3E45BE983BBC46FB429B2D_13</vt:lpwstr>
  </property>
</Properties>
</file>