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jc w:val="center"/>
        <w:rPr>
          <w:rFonts w:hint="default" w:ascii="方正小标宋_GBK" w:hAnsi="方正小标宋_GBK" w:eastAsia="方正小标宋_GBK" w:cs="方正小标宋_GBK"/>
          <w:b/>
          <w:sz w:val="44"/>
          <w:szCs w:val="44"/>
          <w:lang w:val="en-US" w:eastAsia="zh-CN"/>
        </w:rPr>
      </w:pPr>
      <w:r>
        <w:rPr>
          <w:rFonts w:hint="eastAsia" w:ascii="方正小标宋_GBK" w:hAnsi="方正小标宋_GBK" w:eastAsia="方正小标宋_GBK" w:cs="方正小标宋_GBK"/>
          <w:b/>
          <w:sz w:val="44"/>
          <w:szCs w:val="44"/>
        </w:rPr>
        <w:t>成都市第五人民医院2号楼中央空调</w:t>
      </w:r>
      <w:r>
        <w:rPr>
          <w:rFonts w:hint="eastAsia" w:ascii="方正小标宋_GBK" w:hAnsi="方正小标宋_GBK" w:eastAsia="方正小标宋_GBK" w:cs="方正小标宋_GBK"/>
          <w:b/>
          <w:sz w:val="44"/>
          <w:szCs w:val="44"/>
          <w:lang w:val="en-US" w:eastAsia="zh-CN"/>
        </w:rPr>
        <w:t>管路</w:t>
      </w:r>
      <w:r>
        <w:rPr>
          <w:rFonts w:hint="eastAsia" w:ascii="方正小标宋_GBK" w:hAnsi="方正小标宋_GBK" w:eastAsia="方正小标宋_GBK" w:cs="方正小标宋_GBK"/>
          <w:b/>
          <w:sz w:val="44"/>
          <w:szCs w:val="44"/>
        </w:rPr>
        <w:t>层阀更换</w:t>
      </w:r>
      <w:bookmarkStart w:id="0" w:name="_Hlk103584333"/>
      <w:r>
        <w:rPr>
          <w:rFonts w:hint="eastAsia" w:ascii="方正小标宋_GBK" w:hAnsi="方正小标宋_GBK" w:eastAsia="方正小标宋_GBK" w:cs="方正小标宋_GBK"/>
          <w:b/>
          <w:sz w:val="44"/>
          <w:szCs w:val="44"/>
        </w:rPr>
        <w:t>需求</w:t>
      </w:r>
      <w:r>
        <w:rPr>
          <w:rFonts w:hint="eastAsia" w:ascii="方正小标宋_GBK" w:hAnsi="方正小标宋_GBK" w:eastAsia="方正小标宋_GBK" w:cs="方正小标宋_GBK"/>
          <w:b/>
          <w:sz w:val="44"/>
          <w:szCs w:val="44"/>
          <w:lang w:val="en-US" w:eastAsia="zh-CN"/>
        </w:rPr>
        <w:t>及清单</w:t>
      </w:r>
    </w:p>
    <w:p>
      <w:pPr>
        <w:pStyle w:val="2"/>
        <w:rPr>
          <w:rFonts w:hint="eastAsia" w:ascii="黑体" w:hAnsi="黑体" w:eastAsia="黑体" w:cs="黑体"/>
          <w:sz w:val="32"/>
          <w:szCs w:val="32"/>
        </w:rPr>
      </w:pPr>
      <w:r>
        <w:rPr>
          <w:rFonts w:hint="eastAsia" w:ascii="黑体" w:hAnsi="黑体" w:eastAsia="黑体" w:cs="黑体"/>
          <w:sz w:val="32"/>
          <w:szCs w:val="32"/>
        </w:rPr>
        <w:t>项目概况</w:t>
      </w:r>
    </w:p>
    <w:p>
      <w:pPr>
        <w:rPr>
          <w:rFonts w:hint="eastAsia" w:ascii="仿宋" w:hAnsi="仿宋" w:eastAsia="仿宋" w:cs="仿宋"/>
          <w:sz w:val="32"/>
          <w:szCs w:val="32"/>
        </w:rPr>
      </w:pPr>
      <w:r>
        <w:rPr>
          <w:rFonts w:hint="eastAsia" w:ascii="仿宋" w:hAnsi="仿宋" w:eastAsia="仿宋" w:cs="仿宋"/>
          <w:sz w:val="32"/>
          <w:szCs w:val="32"/>
          <w:lang w:val="en-US" w:eastAsia="zh-CN"/>
        </w:rPr>
        <w:t>我院</w:t>
      </w:r>
      <w:r>
        <w:rPr>
          <w:rFonts w:hint="eastAsia" w:ascii="仿宋" w:hAnsi="仿宋" w:eastAsia="仿宋" w:cs="仿宋"/>
          <w:sz w:val="32"/>
          <w:szCs w:val="32"/>
        </w:rPr>
        <w:t>2号楼中央空调水系统中，其层阀因长期使用和老化</w:t>
      </w:r>
      <w:r>
        <w:rPr>
          <w:rFonts w:hint="eastAsia" w:ascii="仿宋" w:hAnsi="仿宋" w:eastAsia="仿宋" w:cs="仿宋"/>
          <w:sz w:val="32"/>
          <w:szCs w:val="32"/>
          <w:lang w:eastAsia="zh-CN"/>
        </w:rPr>
        <w:t>，</w:t>
      </w:r>
      <w:r>
        <w:rPr>
          <w:rFonts w:hint="eastAsia" w:ascii="仿宋" w:hAnsi="仿宋" w:eastAsia="仿宋" w:cs="仿宋"/>
          <w:sz w:val="32"/>
          <w:szCs w:val="32"/>
        </w:rPr>
        <w:t>造成蝶阀密封不严，因此将更换2号楼中央空调全部层阀。</w:t>
      </w:r>
    </w:p>
    <w:p>
      <w:pPr>
        <w:pStyle w:val="2"/>
        <w:rPr>
          <w:rFonts w:hint="eastAsia" w:ascii="黑体" w:hAnsi="黑体" w:eastAsia="黑体" w:cs="黑体"/>
          <w:sz w:val="32"/>
          <w:szCs w:val="32"/>
        </w:rPr>
      </w:pPr>
      <w:r>
        <w:rPr>
          <w:rFonts w:hint="eastAsia" w:ascii="黑体" w:hAnsi="黑体" w:eastAsia="黑体" w:cs="黑体"/>
          <w:sz w:val="32"/>
          <w:szCs w:val="32"/>
        </w:rPr>
        <w:t>商务要求</w:t>
      </w:r>
    </w:p>
    <w:p>
      <w:pPr>
        <w:pStyle w:val="15"/>
        <w:ind w:firstLine="482"/>
        <w:rPr>
          <w:rFonts w:hint="eastAsia" w:ascii="仿宋" w:hAnsi="仿宋" w:eastAsia="仿宋" w:cs="仿宋"/>
          <w:sz w:val="32"/>
          <w:szCs w:val="32"/>
        </w:rPr>
      </w:pPr>
      <w:r>
        <w:rPr>
          <w:rFonts w:hint="eastAsia" w:ascii="仿宋" w:hAnsi="仿宋" w:eastAsia="仿宋" w:cs="仿宋"/>
          <w:sz w:val="32"/>
          <w:szCs w:val="32"/>
        </w:rPr>
        <w:t>1、技术要求</w:t>
      </w:r>
    </w:p>
    <w:p>
      <w:pPr>
        <w:pStyle w:val="15"/>
        <w:numPr>
          <w:ilvl w:val="0"/>
          <w:numId w:val="3"/>
        </w:numPr>
        <w:spacing w:line="360" w:lineRule="auto"/>
        <w:ind w:left="0" w:firstLine="420" w:firstLineChars="0"/>
        <w:rPr>
          <w:rFonts w:hint="eastAsia" w:ascii="仿宋" w:hAnsi="仿宋" w:eastAsia="仿宋" w:cs="仿宋"/>
          <w:b w:val="0"/>
          <w:sz w:val="32"/>
          <w:szCs w:val="32"/>
        </w:rPr>
      </w:pPr>
      <w:r>
        <w:rPr>
          <w:rFonts w:hint="eastAsia" w:ascii="仿宋" w:hAnsi="仿宋" w:eastAsia="仿宋" w:cs="仿宋"/>
          <w:b w:val="0"/>
          <w:sz w:val="32"/>
          <w:szCs w:val="32"/>
        </w:rPr>
        <w:t>供应商须提供建筑机电安装工程专业承包叁级或机电工程施工总承包叁级及以上资质证书。</w:t>
      </w:r>
    </w:p>
    <w:p>
      <w:pPr>
        <w:pStyle w:val="15"/>
        <w:numPr>
          <w:ilvl w:val="0"/>
          <w:numId w:val="3"/>
        </w:numPr>
        <w:spacing w:line="360" w:lineRule="auto"/>
        <w:ind w:left="0" w:firstLine="420" w:firstLineChars="0"/>
        <w:rPr>
          <w:rFonts w:hint="eastAsia" w:ascii="仿宋" w:hAnsi="仿宋" w:eastAsia="仿宋" w:cs="仿宋"/>
          <w:b w:val="0"/>
          <w:sz w:val="32"/>
          <w:szCs w:val="32"/>
        </w:rPr>
      </w:pPr>
      <w:r>
        <w:rPr>
          <w:rFonts w:hint="eastAsia" w:ascii="仿宋" w:hAnsi="仿宋" w:eastAsia="仿宋" w:cs="仿宋"/>
          <w:b w:val="0"/>
          <w:sz w:val="32"/>
          <w:szCs w:val="32"/>
        </w:rPr>
        <w:t>供应商须具备有效的安全生产许可证。</w:t>
      </w:r>
    </w:p>
    <w:p>
      <w:pPr>
        <w:pStyle w:val="15"/>
        <w:numPr>
          <w:ilvl w:val="0"/>
          <w:numId w:val="3"/>
        </w:numPr>
        <w:spacing w:line="360" w:lineRule="auto"/>
        <w:ind w:left="0" w:firstLine="420" w:firstLineChars="0"/>
        <w:rPr>
          <w:rFonts w:hint="eastAsia" w:ascii="仿宋" w:hAnsi="仿宋" w:eastAsia="仿宋" w:cs="仿宋"/>
          <w:b w:val="0"/>
          <w:sz w:val="32"/>
          <w:szCs w:val="32"/>
        </w:rPr>
      </w:pPr>
      <w:r>
        <w:rPr>
          <w:rFonts w:hint="eastAsia" w:ascii="仿宋" w:hAnsi="仿宋" w:eastAsia="仿宋" w:cs="仿宋"/>
          <w:b w:val="0"/>
          <w:sz w:val="32"/>
          <w:szCs w:val="32"/>
        </w:rPr>
        <w:t>供应商须配备一名安全员，须具备有效的安全生产考核合格 C证。</w:t>
      </w:r>
    </w:p>
    <w:p>
      <w:pPr>
        <w:pStyle w:val="15"/>
        <w:numPr>
          <w:ilvl w:val="0"/>
          <w:numId w:val="3"/>
        </w:numPr>
        <w:spacing w:line="360" w:lineRule="auto"/>
        <w:ind w:left="0" w:firstLine="420" w:firstLineChars="0"/>
        <w:rPr>
          <w:rFonts w:hint="eastAsia" w:ascii="仿宋" w:hAnsi="仿宋" w:eastAsia="仿宋" w:cs="仿宋"/>
          <w:b w:val="0"/>
          <w:sz w:val="32"/>
          <w:szCs w:val="32"/>
        </w:rPr>
      </w:pPr>
      <w:r>
        <w:rPr>
          <w:rFonts w:hint="eastAsia" w:ascii="仿宋" w:hAnsi="仿宋" w:eastAsia="仿宋" w:cs="仿宋"/>
          <w:b w:val="0"/>
          <w:sz w:val="32"/>
          <w:szCs w:val="32"/>
        </w:rPr>
        <w:t>施工团队配备3名技术人员：1名具有电工证；2名具有焊接与热切割作业证。</w:t>
      </w:r>
    </w:p>
    <w:p>
      <w:pPr>
        <w:pStyle w:val="15"/>
        <w:numPr>
          <w:ilvl w:val="0"/>
          <w:numId w:val="3"/>
        </w:numPr>
        <w:spacing w:line="360" w:lineRule="auto"/>
        <w:ind w:left="0" w:firstLine="420" w:firstLineChars="0"/>
        <w:rPr>
          <w:rFonts w:hint="eastAsia" w:ascii="仿宋" w:hAnsi="仿宋" w:eastAsia="仿宋" w:cs="仿宋"/>
          <w:b w:val="0"/>
          <w:sz w:val="32"/>
          <w:szCs w:val="32"/>
        </w:rPr>
      </w:pPr>
      <w:r>
        <w:rPr>
          <w:rFonts w:hint="eastAsia" w:ascii="仿宋" w:hAnsi="仿宋" w:eastAsia="仿宋" w:cs="仿宋"/>
          <w:b w:val="0"/>
          <w:sz w:val="32"/>
          <w:szCs w:val="32"/>
        </w:rPr>
        <w:t>阀门更换包括：旧阀门的拆除、新阀门采购及安装、阀门固定螺的更换、辅料等。</w:t>
      </w:r>
    </w:p>
    <w:p>
      <w:pPr>
        <w:pStyle w:val="15"/>
        <w:numPr>
          <w:ilvl w:val="0"/>
          <w:numId w:val="3"/>
        </w:numPr>
        <w:spacing w:line="360" w:lineRule="auto"/>
        <w:ind w:left="0" w:firstLine="420" w:firstLineChars="0"/>
        <w:rPr>
          <w:rFonts w:hint="eastAsia" w:ascii="仿宋" w:hAnsi="仿宋" w:eastAsia="仿宋" w:cs="仿宋"/>
          <w:b w:val="0"/>
          <w:sz w:val="32"/>
          <w:szCs w:val="32"/>
        </w:rPr>
      </w:pPr>
      <w:r>
        <w:rPr>
          <w:rFonts w:hint="eastAsia" w:ascii="仿宋" w:hAnsi="仿宋" w:eastAsia="仿宋" w:cs="仿宋"/>
          <w:b w:val="0"/>
          <w:sz w:val="32"/>
          <w:szCs w:val="32"/>
        </w:rPr>
        <w:t>阀门保温材料的拆除，阀门及管道保温的修复。</w:t>
      </w:r>
    </w:p>
    <w:p>
      <w:pPr>
        <w:pStyle w:val="15"/>
        <w:numPr>
          <w:ilvl w:val="0"/>
          <w:numId w:val="3"/>
        </w:numPr>
        <w:spacing w:line="360" w:lineRule="auto"/>
        <w:ind w:left="0" w:firstLine="420" w:firstLineChars="0"/>
        <w:rPr>
          <w:rFonts w:hint="eastAsia" w:ascii="仿宋" w:hAnsi="仿宋" w:eastAsia="仿宋" w:cs="仿宋"/>
          <w:b w:val="0"/>
          <w:sz w:val="32"/>
          <w:szCs w:val="32"/>
        </w:rPr>
      </w:pPr>
      <w:r>
        <w:rPr>
          <w:rFonts w:hint="eastAsia" w:ascii="仿宋" w:hAnsi="仿宋" w:eastAsia="仿宋" w:cs="仿宋"/>
          <w:b w:val="0"/>
          <w:sz w:val="32"/>
          <w:szCs w:val="32"/>
        </w:rPr>
        <w:t>更换法兰盘表面除锈、润滑或者部分法兰盘的更换。</w:t>
      </w:r>
    </w:p>
    <w:p>
      <w:pPr>
        <w:pStyle w:val="15"/>
        <w:numPr>
          <w:ilvl w:val="0"/>
          <w:numId w:val="3"/>
        </w:numPr>
        <w:spacing w:line="360" w:lineRule="auto"/>
        <w:ind w:left="0" w:firstLine="420" w:firstLineChars="0"/>
        <w:rPr>
          <w:rFonts w:hint="eastAsia" w:ascii="仿宋" w:hAnsi="仿宋" w:eastAsia="仿宋" w:cs="仿宋"/>
          <w:b w:val="0"/>
          <w:sz w:val="32"/>
          <w:szCs w:val="32"/>
        </w:rPr>
      </w:pPr>
      <w:r>
        <w:rPr>
          <w:rFonts w:hint="eastAsia" w:ascii="仿宋" w:hAnsi="仿宋" w:eastAsia="仿宋" w:cs="仿宋"/>
          <w:b w:val="0"/>
          <w:sz w:val="32"/>
          <w:szCs w:val="32"/>
        </w:rPr>
        <w:t>部分吊顶和龙骨的拆除，以及破损的吊顶、龙骨的更换。</w:t>
      </w:r>
    </w:p>
    <w:p>
      <w:pPr>
        <w:pStyle w:val="15"/>
        <w:numPr>
          <w:ilvl w:val="0"/>
          <w:numId w:val="3"/>
        </w:numPr>
        <w:spacing w:line="360" w:lineRule="auto"/>
        <w:ind w:left="0" w:firstLine="420" w:firstLineChars="0"/>
        <w:rPr>
          <w:rFonts w:hint="eastAsia" w:ascii="仿宋" w:hAnsi="仿宋" w:eastAsia="仿宋" w:cs="仿宋"/>
          <w:b w:val="0"/>
          <w:sz w:val="32"/>
          <w:szCs w:val="32"/>
        </w:rPr>
      </w:pPr>
      <w:r>
        <w:rPr>
          <w:rFonts w:hint="eastAsia" w:ascii="仿宋" w:hAnsi="仿宋" w:eastAsia="仿宋" w:cs="仿宋"/>
          <w:b w:val="0"/>
          <w:sz w:val="32"/>
          <w:szCs w:val="32"/>
        </w:rPr>
        <w:t>阀门更换须考虑到高空作业、夜间加班作业、安全文明施工保障措施。</w:t>
      </w:r>
    </w:p>
    <w:p>
      <w:pPr>
        <w:pStyle w:val="15"/>
        <w:numPr>
          <w:ilvl w:val="0"/>
          <w:numId w:val="3"/>
        </w:numPr>
        <w:spacing w:line="360" w:lineRule="auto"/>
        <w:ind w:left="0" w:firstLine="420" w:firstLineChars="0"/>
        <w:rPr>
          <w:rFonts w:hint="eastAsia" w:ascii="仿宋" w:hAnsi="仿宋" w:eastAsia="仿宋" w:cs="仿宋"/>
          <w:b w:val="0"/>
          <w:sz w:val="32"/>
          <w:szCs w:val="32"/>
        </w:rPr>
      </w:pPr>
      <w:r>
        <w:rPr>
          <w:rFonts w:hint="eastAsia" w:ascii="仿宋" w:hAnsi="仿宋" w:eastAsia="仿宋" w:cs="仿宋"/>
          <w:b w:val="0"/>
          <w:sz w:val="32"/>
          <w:szCs w:val="32"/>
        </w:rPr>
        <w:t>所有阀门到货时需通知医院进行检查，到货时需附带提供所有阀门的厂家质量合格证。</w:t>
      </w:r>
    </w:p>
    <w:p>
      <w:pPr>
        <w:pStyle w:val="15"/>
        <w:numPr>
          <w:ilvl w:val="0"/>
          <w:numId w:val="3"/>
        </w:numPr>
        <w:spacing w:line="360" w:lineRule="auto"/>
        <w:ind w:left="0" w:firstLine="420" w:firstLineChars="0"/>
        <w:rPr>
          <w:rFonts w:hint="eastAsia" w:ascii="仿宋" w:hAnsi="仿宋" w:eastAsia="仿宋" w:cs="仿宋"/>
          <w:b w:val="0"/>
          <w:sz w:val="32"/>
          <w:szCs w:val="32"/>
        </w:rPr>
      </w:pPr>
      <w:r>
        <w:rPr>
          <w:rFonts w:hint="eastAsia" w:ascii="仿宋" w:hAnsi="仿宋" w:eastAsia="仿宋" w:cs="仿宋"/>
          <w:b w:val="0"/>
          <w:sz w:val="32"/>
          <w:szCs w:val="32"/>
          <w:lang w:val="en-US" w:eastAsia="zh-CN"/>
        </w:rPr>
        <w:t>此次更换阀门必须是进口阀门，阀门类型为手柄式对夹蝶阀。</w:t>
      </w:r>
    </w:p>
    <w:p>
      <w:pPr>
        <w:pStyle w:val="15"/>
        <w:ind w:firstLine="482"/>
        <w:rPr>
          <w:rFonts w:hint="eastAsia" w:ascii="仿宋" w:hAnsi="仿宋" w:eastAsia="仿宋" w:cs="仿宋"/>
          <w:sz w:val="32"/>
          <w:szCs w:val="32"/>
        </w:rPr>
      </w:pPr>
      <w:r>
        <w:rPr>
          <w:rFonts w:hint="eastAsia" w:ascii="仿宋" w:hAnsi="仿宋" w:eastAsia="仿宋" w:cs="仿宋"/>
          <w:sz w:val="32"/>
          <w:szCs w:val="32"/>
        </w:rPr>
        <w:t>2、施工期限</w:t>
      </w:r>
    </w:p>
    <w:p>
      <w:pPr>
        <w:rPr>
          <w:rFonts w:hint="eastAsia" w:ascii="仿宋" w:hAnsi="仿宋" w:eastAsia="仿宋" w:cs="仿宋"/>
          <w:sz w:val="32"/>
          <w:szCs w:val="32"/>
        </w:rPr>
      </w:pPr>
      <w:r>
        <w:rPr>
          <w:rFonts w:hint="eastAsia" w:ascii="仿宋" w:hAnsi="仿宋" w:eastAsia="仿宋" w:cs="仿宋"/>
          <w:sz w:val="32"/>
          <w:szCs w:val="32"/>
        </w:rPr>
        <w:t>预计施工工期 10个日历天。</w:t>
      </w:r>
    </w:p>
    <w:p>
      <w:pPr>
        <w:pStyle w:val="15"/>
        <w:ind w:firstLine="482"/>
        <w:rPr>
          <w:rFonts w:hint="eastAsia" w:ascii="仿宋" w:hAnsi="仿宋" w:eastAsia="仿宋" w:cs="仿宋"/>
          <w:sz w:val="32"/>
          <w:szCs w:val="32"/>
        </w:rPr>
      </w:pPr>
      <w:r>
        <w:rPr>
          <w:rFonts w:hint="eastAsia" w:ascii="仿宋" w:hAnsi="仿宋" w:eastAsia="仿宋" w:cs="仿宋"/>
          <w:sz w:val="32"/>
          <w:szCs w:val="32"/>
        </w:rPr>
        <w:t>3、质保期</w:t>
      </w:r>
    </w:p>
    <w:p>
      <w:pPr>
        <w:rPr>
          <w:rFonts w:hint="eastAsia" w:ascii="仿宋" w:hAnsi="仿宋" w:eastAsia="仿宋" w:cs="仿宋"/>
          <w:sz w:val="32"/>
          <w:szCs w:val="32"/>
        </w:rPr>
      </w:pPr>
      <w:r>
        <w:rPr>
          <w:rFonts w:hint="eastAsia" w:ascii="仿宋" w:hAnsi="仿宋" w:eastAsia="仿宋" w:cs="仿宋"/>
          <w:sz w:val="32"/>
          <w:szCs w:val="32"/>
        </w:rPr>
        <w:t>自验收合格之日起壹年，出现故障2小时内响应并及时处理。</w:t>
      </w:r>
    </w:p>
    <w:bookmarkEnd w:id="0"/>
    <w:p>
      <w:pPr>
        <w:pStyle w:val="15"/>
        <w:ind w:firstLine="482"/>
        <w:rPr>
          <w:rFonts w:hint="eastAsia" w:ascii="仿宋" w:hAnsi="仿宋" w:eastAsia="仿宋" w:cs="仿宋"/>
          <w:sz w:val="32"/>
          <w:szCs w:val="32"/>
        </w:rPr>
      </w:pPr>
      <w:r>
        <w:rPr>
          <w:rFonts w:hint="eastAsia" w:ascii="仿宋" w:hAnsi="仿宋" w:eastAsia="仿宋" w:cs="仿宋"/>
          <w:sz w:val="32"/>
          <w:szCs w:val="32"/>
        </w:rPr>
        <w:t>4、验收标准</w:t>
      </w:r>
    </w:p>
    <w:p>
      <w:pPr>
        <w:rPr>
          <w:rFonts w:hint="eastAsia" w:ascii="仿宋" w:hAnsi="仿宋" w:eastAsia="仿宋" w:cs="仿宋"/>
          <w:sz w:val="32"/>
          <w:szCs w:val="32"/>
        </w:rPr>
      </w:pPr>
      <w:r>
        <w:rPr>
          <w:rFonts w:hint="eastAsia" w:ascii="仿宋" w:hAnsi="仿宋" w:eastAsia="仿宋" w:cs="仿宋"/>
          <w:sz w:val="32"/>
          <w:szCs w:val="32"/>
        </w:rPr>
        <w:t>阀门等货物到达交货地点并安装完成后，经采购人组织验收小组验收确认可以正常投入使用，并达到相关标准产品验收合格。</w:t>
      </w: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更换清单</w:t>
      </w:r>
    </w:p>
    <w:p>
      <w:pPr>
        <w:pStyle w:val="2"/>
        <w:numPr>
          <w:ilvl w:val="0"/>
          <w:numId w:val="0"/>
        </w:numPr>
        <w:bidi w:val="0"/>
        <w:ind w:leftChars="200"/>
        <w:rPr>
          <w:rFonts w:hint="default"/>
          <w:lang w:val="en-US" w:eastAsia="zh-CN"/>
        </w:rPr>
      </w:pPr>
      <w:r>
        <w:rPr>
          <w:rFonts w:hint="eastAsia" w:ascii="仿宋" w:hAnsi="仿宋" w:eastAsia="仿宋" w:cs="仿宋"/>
          <w:b w:val="0"/>
          <w:bCs w:val="0"/>
          <w:sz w:val="32"/>
          <w:szCs w:val="32"/>
        </w:rPr>
        <w:t>需求管理和维护的设备清单如下：</w:t>
      </w:r>
    </w:p>
    <w:tbl>
      <w:tblPr>
        <w:tblStyle w:val="19"/>
        <w:tblW w:w="9512" w:type="dxa"/>
        <w:tblInd w:w="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7"/>
        <w:gridCol w:w="1155"/>
        <w:gridCol w:w="3120"/>
        <w:gridCol w:w="2745"/>
        <w:gridCol w:w="1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1007" w:type="dxa"/>
            <w:tcBorders>
              <w:top w:val="single" w:color="000000" w:sz="2" w:space="0"/>
              <w:left w:val="single" w:color="000000" w:sz="2" w:space="0"/>
            </w:tcBorders>
            <w:vAlign w:val="top"/>
          </w:tcPr>
          <w:p>
            <w:pPr>
              <w:pStyle w:val="18"/>
              <w:spacing w:before="262" w:line="194" w:lineRule="auto"/>
              <w:ind w:left="172"/>
            </w:pPr>
            <w:r>
              <w:rPr>
                <w:b/>
                <w:bCs/>
                <w:spacing w:val="-1"/>
              </w:rPr>
              <w:t>序号</w:t>
            </w:r>
          </w:p>
        </w:tc>
        <w:tc>
          <w:tcPr>
            <w:tcW w:w="1155" w:type="dxa"/>
            <w:tcBorders>
              <w:top w:val="single" w:color="000000" w:sz="2" w:space="0"/>
            </w:tcBorders>
            <w:vAlign w:val="top"/>
          </w:tcPr>
          <w:p>
            <w:pPr>
              <w:pStyle w:val="18"/>
              <w:spacing w:before="261" w:line="194" w:lineRule="auto"/>
              <w:ind w:left="239"/>
            </w:pPr>
            <w:r>
              <w:rPr>
                <w:b/>
                <w:bCs/>
                <w:spacing w:val="-1"/>
              </w:rPr>
              <w:t>楼层</w:t>
            </w:r>
          </w:p>
        </w:tc>
        <w:tc>
          <w:tcPr>
            <w:tcW w:w="3120" w:type="dxa"/>
            <w:tcBorders>
              <w:top w:val="single" w:color="000000" w:sz="2" w:space="0"/>
            </w:tcBorders>
            <w:vAlign w:val="top"/>
          </w:tcPr>
          <w:p>
            <w:pPr>
              <w:pStyle w:val="18"/>
              <w:spacing w:before="262" w:line="195" w:lineRule="auto"/>
              <w:ind w:left="706"/>
            </w:pPr>
            <w:r>
              <w:rPr>
                <w:b/>
                <w:bCs/>
                <w:spacing w:val="-2"/>
              </w:rPr>
              <w:t>阀门名称</w:t>
            </w:r>
          </w:p>
        </w:tc>
        <w:tc>
          <w:tcPr>
            <w:tcW w:w="2745" w:type="dxa"/>
            <w:tcBorders>
              <w:top w:val="single" w:color="000000" w:sz="2" w:space="0"/>
            </w:tcBorders>
            <w:vAlign w:val="top"/>
          </w:tcPr>
          <w:p>
            <w:pPr>
              <w:pStyle w:val="18"/>
              <w:spacing w:before="261" w:line="196" w:lineRule="auto"/>
              <w:ind w:left="350"/>
            </w:pPr>
            <w:r>
              <w:rPr>
                <w:b/>
                <w:bCs/>
                <w:spacing w:val="-2"/>
              </w:rPr>
              <w:t>阀门型号</w:t>
            </w:r>
          </w:p>
        </w:tc>
        <w:tc>
          <w:tcPr>
            <w:tcW w:w="1485" w:type="dxa"/>
            <w:tcBorders>
              <w:top w:val="single" w:color="000000" w:sz="2" w:space="0"/>
            </w:tcBorders>
            <w:vAlign w:val="top"/>
          </w:tcPr>
          <w:p>
            <w:pPr>
              <w:pStyle w:val="18"/>
              <w:spacing w:before="262" w:line="194" w:lineRule="auto"/>
              <w:ind w:left="243"/>
            </w:pPr>
            <w:r>
              <w:rPr>
                <w:b/>
                <w:bCs/>
                <w:spacing w:val="-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007" w:type="dxa"/>
            <w:vMerge w:val="restart"/>
            <w:tcBorders>
              <w:left w:val="single" w:color="000000" w:sz="2" w:space="0"/>
              <w:bottom w:val="nil"/>
            </w:tcBorders>
            <w:vAlign w:val="top"/>
          </w:tcPr>
          <w:p>
            <w:pPr>
              <w:pStyle w:val="18"/>
              <w:spacing w:before="250" w:line="172" w:lineRule="auto"/>
              <w:ind w:left="316"/>
            </w:pPr>
            <w:r>
              <w:t>1</w:t>
            </w:r>
          </w:p>
        </w:tc>
        <w:tc>
          <w:tcPr>
            <w:tcW w:w="1155" w:type="dxa"/>
            <w:vMerge w:val="restart"/>
            <w:tcBorders>
              <w:bottom w:val="nil"/>
            </w:tcBorders>
            <w:vAlign w:val="top"/>
          </w:tcPr>
          <w:p>
            <w:pPr>
              <w:pStyle w:val="18"/>
              <w:spacing w:before="250" w:line="172" w:lineRule="auto"/>
              <w:ind w:left="282"/>
            </w:pPr>
            <w:r>
              <w:rPr>
                <w:spacing w:val="-5"/>
              </w:rPr>
              <w:t>19F</w:t>
            </w:r>
          </w:p>
        </w:tc>
        <w:tc>
          <w:tcPr>
            <w:tcW w:w="3120" w:type="dxa"/>
            <w:vMerge w:val="restart"/>
            <w:tcBorders>
              <w:bottom w:val="nil"/>
            </w:tcBorders>
            <w:vAlign w:val="top"/>
          </w:tcPr>
          <w:p>
            <w:pPr>
              <w:pStyle w:val="18"/>
              <w:spacing w:before="243" w:line="194" w:lineRule="auto"/>
              <w:ind w:left="351"/>
            </w:pPr>
            <w:r>
              <w:rPr>
                <w:spacing w:val="-2"/>
              </w:rPr>
              <w:t>中线对夹手柄蝶阀</w:t>
            </w:r>
          </w:p>
        </w:tc>
        <w:tc>
          <w:tcPr>
            <w:tcW w:w="2745" w:type="dxa"/>
            <w:vAlign w:val="top"/>
          </w:tcPr>
          <w:p>
            <w:pPr>
              <w:pStyle w:val="18"/>
              <w:spacing w:before="87" w:line="170" w:lineRule="auto"/>
              <w:ind w:left="418"/>
            </w:pPr>
            <w:r>
              <w:rPr>
                <w:spacing w:val="-3"/>
              </w:rPr>
              <w:t>DN125</w:t>
            </w:r>
          </w:p>
        </w:tc>
        <w:tc>
          <w:tcPr>
            <w:tcW w:w="1485" w:type="dxa"/>
            <w:vAlign w:val="top"/>
          </w:tcPr>
          <w:p>
            <w:pPr>
              <w:pStyle w:val="18"/>
              <w:spacing w:before="87" w:line="170" w:lineRule="auto"/>
              <w:ind w:left="387"/>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007" w:type="dxa"/>
            <w:vMerge w:val="continue"/>
            <w:tcBorders>
              <w:top w:val="nil"/>
              <w:left w:val="single" w:color="000000" w:sz="2" w:space="0"/>
            </w:tcBorders>
            <w:vAlign w:val="top"/>
          </w:tcPr>
          <w:p>
            <w:pPr>
              <w:rPr>
                <w:rFonts w:ascii="Arial"/>
                <w:sz w:val="21"/>
              </w:rPr>
            </w:pPr>
          </w:p>
        </w:tc>
        <w:tc>
          <w:tcPr>
            <w:tcW w:w="1155" w:type="dxa"/>
            <w:vMerge w:val="continue"/>
            <w:tcBorders>
              <w:top w:val="nil"/>
            </w:tcBorders>
            <w:vAlign w:val="top"/>
          </w:tcPr>
          <w:p>
            <w:pPr>
              <w:rPr>
                <w:rFonts w:ascii="Arial"/>
                <w:sz w:val="21"/>
              </w:rPr>
            </w:pPr>
          </w:p>
        </w:tc>
        <w:tc>
          <w:tcPr>
            <w:tcW w:w="3120" w:type="dxa"/>
            <w:vMerge w:val="continue"/>
            <w:tcBorders>
              <w:top w:val="nil"/>
            </w:tcBorders>
            <w:vAlign w:val="top"/>
          </w:tcPr>
          <w:p>
            <w:pPr>
              <w:rPr>
                <w:rFonts w:ascii="Arial"/>
                <w:sz w:val="21"/>
              </w:rPr>
            </w:pPr>
          </w:p>
        </w:tc>
        <w:tc>
          <w:tcPr>
            <w:tcW w:w="2745" w:type="dxa"/>
            <w:vAlign w:val="top"/>
          </w:tcPr>
          <w:p>
            <w:pPr>
              <w:pStyle w:val="18"/>
              <w:spacing w:before="87" w:line="170" w:lineRule="auto"/>
              <w:ind w:left="418"/>
            </w:pPr>
            <w:r>
              <w:rPr>
                <w:spacing w:val="-3"/>
              </w:rPr>
              <w:t>DN125</w:t>
            </w:r>
          </w:p>
        </w:tc>
        <w:tc>
          <w:tcPr>
            <w:tcW w:w="1485" w:type="dxa"/>
            <w:vAlign w:val="top"/>
          </w:tcPr>
          <w:p>
            <w:pPr>
              <w:pStyle w:val="18"/>
              <w:spacing w:before="87" w:line="170" w:lineRule="auto"/>
              <w:ind w:left="387"/>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007" w:type="dxa"/>
            <w:vMerge w:val="restart"/>
            <w:tcBorders>
              <w:left w:val="single" w:color="000000" w:sz="2" w:space="0"/>
              <w:bottom w:val="nil"/>
            </w:tcBorders>
            <w:vAlign w:val="top"/>
          </w:tcPr>
          <w:p>
            <w:pPr>
              <w:pStyle w:val="18"/>
              <w:spacing w:before="253" w:line="172" w:lineRule="auto"/>
              <w:ind w:left="307"/>
            </w:pPr>
            <w:r>
              <w:t>2</w:t>
            </w:r>
          </w:p>
        </w:tc>
        <w:tc>
          <w:tcPr>
            <w:tcW w:w="1155" w:type="dxa"/>
            <w:vMerge w:val="restart"/>
            <w:tcBorders>
              <w:bottom w:val="nil"/>
            </w:tcBorders>
            <w:vAlign w:val="top"/>
          </w:tcPr>
          <w:p>
            <w:pPr>
              <w:pStyle w:val="18"/>
              <w:spacing w:before="253" w:line="172" w:lineRule="auto"/>
              <w:ind w:left="282"/>
            </w:pPr>
            <w:r>
              <w:rPr>
                <w:spacing w:val="-5"/>
              </w:rPr>
              <w:t>18F</w:t>
            </w:r>
          </w:p>
        </w:tc>
        <w:tc>
          <w:tcPr>
            <w:tcW w:w="3120" w:type="dxa"/>
            <w:vMerge w:val="restart"/>
            <w:tcBorders>
              <w:bottom w:val="nil"/>
            </w:tcBorders>
            <w:vAlign w:val="top"/>
          </w:tcPr>
          <w:p>
            <w:pPr>
              <w:pStyle w:val="18"/>
              <w:spacing w:before="246" w:line="194" w:lineRule="auto"/>
              <w:ind w:left="351"/>
            </w:pPr>
            <w:r>
              <w:rPr>
                <w:spacing w:val="-2"/>
              </w:rPr>
              <w:t>中线对夹手柄蝶阀</w:t>
            </w:r>
          </w:p>
        </w:tc>
        <w:tc>
          <w:tcPr>
            <w:tcW w:w="2745" w:type="dxa"/>
            <w:vAlign w:val="top"/>
          </w:tcPr>
          <w:p>
            <w:pPr>
              <w:pStyle w:val="18"/>
              <w:spacing w:before="87" w:line="170" w:lineRule="auto"/>
              <w:ind w:left="418"/>
            </w:pPr>
            <w:r>
              <w:rPr>
                <w:spacing w:val="-3"/>
              </w:rPr>
              <w:t>DN125</w:t>
            </w:r>
          </w:p>
        </w:tc>
        <w:tc>
          <w:tcPr>
            <w:tcW w:w="1485" w:type="dxa"/>
            <w:vAlign w:val="top"/>
          </w:tcPr>
          <w:p>
            <w:pPr>
              <w:pStyle w:val="18"/>
              <w:spacing w:before="87" w:line="170" w:lineRule="auto"/>
              <w:ind w:left="387"/>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007" w:type="dxa"/>
            <w:vMerge w:val="continue"/>
            <w:tcBorders>
              <w:top w:val="nil"/>
              <w:left w:val="single" w:color="000000" w:sz="2" w:space="0"/>
            </w:tcBorders>
            <w:vAlign w:val="top"/>
          </w:tcPr>
          <w:p>
            <w:pPr>
              <w:rPr>
                <w:rFonts w:ascii="Arial"/>
                <w:sz w:val="21"/>
              </w:rPr>
            </w:pPr>
          </w:p>
        </w:tc>
        <w:tc>
          <w:tcPr>
            <w:tcW w:w="1155" w:type="dxa"/>
            <w:vMerge w:val="continue"/>
            <w:tcBorders>
              <w:top w:val="nil"/>
            </w:tcBorders>
            <w:vAlign w:val="top"/>
          </w:tcPr>
          <w:p>
            <w:pPr>
              <w:rPr>
                <w:rFonts w:ascii="Arial"/>
                <w:sz w:val="21"/>
              </w:rPr>
            </w:pPr>
          </w:p>
        </w:tc>
        <w:tc>
          <w:tcPr>
            <w:tcW w:w="3120" w:type="dxa"/>
            <w:vMerge w:val="continue"/>
            <w:tcBorders>
              <w:top w:val="nil"/>
            </w:tcBorders>
            <w:vAlign w:val="top"/>
          </w:tcPr>
          <w:p>
            <w:pPr>
              <w:rPr>
                <w:rFonts w:ascii="Arial"/>
                <w:sz w:val="21"/>
              </w:rPr>
            </w:pPr>
          </w:p>
        </w:tc>
        <w:tc>
          <w:tcPr>
            <w:tcW w:w="2745" w:type="dxa"/>
            <w:vAlign w:val="top"/>
          </w:tcPr>
          <w:p>
            <w:pPr>
              <w:pStyle w:val="18"/>
              <w:spacing w:before="90" w:line="169" w:lineRule="auto"/>
              <w:ind w:left="418"/>
            </w:pPr>
            <w:r>
              <w:rPr>
                <w:spacing w:val="-3"/>
              </w:rPr>
              <w:t>DN125</w:t>
            </w:r>
          </w:p>
        </w:tc>
        <w:tc>
          <w:tcPr>
            <w:tcW w:w="1485" w:type="dxa"/>
            <w:vAlign w:val="top"/>
          </w:tcPr>
          <w:p>
            <w:pPr>
              <w:pStyle w:val="18"/>
              <w:spacing w:before="90" w:line="169" w:lineRule="auto"/>
              <w:ind w:left="387"/>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007" w:type="dxa"/>
            <w:vMerge w:val="restart"/>
            <w:tcBorders>
              <w:left w:val="single" w:color="000000" w:sz="2" w:space="0"/>
              <w:bottom w:val="nil"/>
            </w:tcBorders>
            <w:vAlign w:val="top"/>
          </w:tcPr>
          <w:p>
            <w:pPr>
              <w:pStyle w:val="18"/>
              <w:spacing w:before="252" w:line="172" w:lineRule="auto"/>
              <w:ind w:left="309"/>
            </w:pPr>
            <w:r>
              <w:t>3</w:t>
            </w:r>
          </w:p>
        </w:tc>
        <w:tc>
          <w:tcPr>
            <w:tcW w:w="1155" w:type="dxa"/>
            <w:vMerge w:val="restart"/>
            <w:tcBorders>
              <w:bottom w:val="nil"/>
            </w:tcBorders>
            <w:vAlign w:val="top"/>
          </w:tcPr>
          <w:p>
            <w:pPr>
              <w:pStyle w:val="18"/>
              <w:spacing w:before="252" w:line="172" w:lineRule="auto"/>
              <w:ind w:left="282"/>
            </w:pPr>
            <w:r>
              <w:rPr>
                <w:spacing w:val="-5"/>
              </w:rPr>
              <w:t>17F</w:t>
            </w:r>
          </w:p>
        </w:tc>
        <w:tc>
          <w:tcPr>
            <w:tcW w:w="3120" w:type="dxa"/>
            <w:vMerge w:val="restart"/>
            <w:tcBorders>
              <w:bottom w:val="nil"/>
            </w:tcBorders>
            <w:vAlign w:val="top"/>
          </w:tcPr>
          <w:p>
            <w:pPr>
              <w:pStyle w:val="18"/>
              <w:spacing w:before="245" w:line="194" w:lineRule="auto"/>
              <w:ind w:left="351"/>
            </w:pPr>
            <w:r>
              <w:rPr>
                <w:spacing w:val="-2"/>
              </w:rPr>
              <w:t>中线对夹手柄蝶阀</w:t>
            </w:r>
          </w:p>
        </w:tc>
        <w:tc>
          <w:tcPr>
            <w:tcW w:w="2745" w:type="dxa"/>
            <w:vAlign w:val="top"/>
          </w:tcPr>
          <w:p>
            <w:pPr>
              <w:pStyle w:val="18"/>
              <w:spacing w:before="88" w:line="169" w:lineRule="auto"/>
              <w:ind w:left="418"/>
            </w:pPr>
            <w:r>
              <w:rPr>
                <w:spacing w:val="-3"/>
              </w:rPr>
              <w:t>DN125</w:t>
            </w:r>
          </w:p>
        </w:tc>
        <w:tc>
          <w:tcPr>
            <w:tcW w:w="1485" w:type="dxa"/>
            <w:vAlign w:val="top"/>
          </w:tcPr>
          <w:p>
            <w:pPr>
              <w:pStyle w:val="18"/>
              <w:spacing w:before="88" w:line="169" w:lineRule="auto"/>
              <w:ind w:left="387"/>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007" w:type="dxa"/>
            <w:vMerge w:val="continue"/>
            <w:tcBorders>
              <w:top w:val="nil"/>
              <w:left w:val="single" w:color="000000" w:sz="2" w:space="0"/>
            </w:tcBorders>
            <w:vAlign w:val="top"/>
          </w:tcPr>
          <w:p>
            <w:pPr>
              <w:rPr>
                <w:rFonts w:ascii="Arial"/>
                <w:sz w:val="21"/>
              </w:rPr>
            </w:pPr>
          </w:p>
        </w:tc>
        <w:tc>
          <w:tcPr>
            <w:tcW w:w="1155" w:type="dxa"/>
            <w:vMerge w:val="continue"/>
            <w:tcBorders>
              <w:top w:val="nil"/>
            </w:tcBorders>
            <w:vAlign w:val="top"/>
          </w:tcPr>
          <w:p>
            <w:pPr>
              <w:rPr>
                <w:rFonts w:ascii="Arial"/>
                <w:sz w:val="21"/>
              </w:rPr>
            </w:pPr>
          </w:p>
        </w:tc>
        <w:tc>
          <w:tcPr>
            <w:tcW w:w="3120" w:type="dxa"/>
            <w:vMerge w:val="continue"/>
            <w:tcBorders>
              <w:top w:val="nil"/>
            </w:tcBorders>
            <w:vAlign w:val="top"/>
          </w:tcPr>
          <w:p>
            <w:pPr>
              <w:rPr>
                <w:rFonts w:ascii="Arial"/>
                <w:sz w:val="21"/>
              </w:rPr>
            </w:pPr>
          </w:p>
        </w:tc>
        <w:tc>
          <w:tcPr>
            <w:tcW w:w="2745" w:type="dxa"/>
            <w:vAlign w:val="top"/>
          </w:tcPr>
          <w:p>
            <w:pPr>
              <w:pStyle w:val="18"/>
              <w:spacing w:before="89" w:line="168" w:lineRule="auto"/>
              <w:ind w:left="418"/>
            </w:pPr>
            <w:r>
              <w:rPr>
                <w:spacing w:val="-3"/>
              </w:rPr>
              <w:t>DN125</w:t>
            </w:r>
          </w:p>
        </w:tc>
        <w:tc>
          <w:tcPr>
            <w:tcW w:w="1485" w:type="dxa"/>
            <w:vAlign w:val="top"/>
          </w:tcPr>
          <w:p>
            <w:pPr>
              <w:pStyle w:val="18"/>
              <w:spacing w:before="89" w:line="168" w:lineRule="auto"/>
              <w:ind w:left="387"/>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007" w:type="dxa"/>
            <w:vMerge w:val="restart"/>
            <w:tcBorders>
              <w:left w:val="single" w:color="000000" w:sz="2" w:space="0"/>
              <w:bottom w:val="nil"/>
            </w:tcBorders>
            <w:vAlign w:val="top"/>
          </w:tcPr>
          <w:p>
            <w:pPr>
              <w:pStyle w:val="18"/>
              <w:spacing w:before="258" w:line="170" w:lineRule="auto"/>
              <w:ind w:left="298"/>
            </w:pPr>
            <w:r>
              <w:t>4</w:t>
            </w:r>
          </w:p>
        </w:tc>
        <w:tc>
          <w:tcPr>
            <w:tcW w:w="1155" w:type="dxa"/>
            <w:vMerge w:val="restart"/>
            <w:tcBorders>
              <w:bottom w:val="nil"/>
            </w:tcBorders>
            <w:vAlign w:val="top"/>
          </w:tcPr>
          <w:p>
            <w:pPr>
              <w:pStyle w:val="18"/>
              <w:spacing w:before="255" w:line="172" w:lineRule="auto"/>
              <w:ind w:left="282"/>
            </w:pPr>
            <w:r>
              <w:rPr>
                <w:spacing w:val="-5"/>
              </w:rPr>
              <w:t>16F</w:t>
            </w:r>
          </w:p>
        </w:tc>
        <w:tc>
          <w:tcPr>
            <w:tcW w:w="3120" w:type="dxa"/>
            <w:vMerge w:val="restart"/>
            <w:tcBorders>
              <w:bottom w:val="nil"/>
            </w:tcBorders>
            <w:vAlign w:val="top"/>
          </w:tcPr>
          <w:p>
            <w:pPr>
              <w:pStyle w:val="18"/>
              <w:spacing w:before="248" w:line="194" w:lineRule="auto"/>
              <w:ind w:left="351"/>
            </w:pPr>
            <w:r>
              <w:rPr>
                <w:spacing w:val="-2"/>
              </w:rPr>
              <w:t>中线对夹手柄蝶阀</w:t>
            </w:r>
          </w:p>
        </w:tc>
        <w:tc>
          <w:tcPr>
            <w:tcW w:w="2745" w:type="dxa"/>
            <w:vAlign w:val="top"/>
          </w:tcPr>
          <w:p>
            <w:pPr>
              <w:pStyle w:val="18"/>
              <w:spacing w:before="89" w:line="168" w:lineRule="auto"/>
              <w:ind w:left="418"/>
            </w:pPr>
            <w:r>
              <w:rPr>
                <w:spacing w:val="-3"/>
              </w:rPr>
              <w:t>DN125</w:t>
            </w:r>
          </w:p>
        </w:tc>
        <w:tc>
          <w:tcPr>
            <w:tcW w:w="1485" w:type="dxa"/>
            <w:vAlign w:val="top"/>
          </w:tcPr>
          <w:p>
            <w:pPr>
              <w:pStyle w:val="18"/>
              <w:spacing w:before="89" w:line="168" w:lineRule="auto"/>
              <w:ind w:left="387"/>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007" w:type="dxa"/>
            <w:vMerge w:val="continue"/>
            <w:tcBorders>
              <w:top w:val="nil"/>
              <w:left w:val="single" w:color="000000" w:sz="2" w:space="0"/>
            </w:tcBorders>
            <w:vAlign w:val="top"/>
          </w:tcPr>
          <w:p>
            <w:pPr>
              <w:rPr>
                <w:rFonts w:ascii="Arial"/>
                <w:sz w:val="21"/>
              </w:rPr>
            </w:pPr>
          </w:p>
        </w:tc>
        <w:tc>
          <w:tcPr>
            <w:tcW w:w="1155" w:type="dxa"/>
            <w:vMerge w:val="continue"/>
            <w:tcBorders>
              <w:top w:val="nil"/>
            </w:tcBorders>
            <w:vAlign w:val="top"/>
          </w:tcPr>
          <w:p>
            <w:pPr>
              <w:rPr>
                <w:rFonts w:ascii="Arial"/>
                <w:sz w:val="21"/>
              </w:rPr>
            </w:pPr>
          </w:p>
        </w:tc>
        <w:tc>
          <w:tcPr>
            <w:tcW w:w="3120" w:type="dxa"/>
            <w:vMerge w:val="continue"/>
            <w:tcBorders>
              <w:top w:val="nil"/>
            </w:tcBorders>
            <w:vAlign w:val="top"/>
          </w:tcPr>
          <w:p>
            <w:pPr>
              <w:rPr>
                <w:rFonts w:ascii="Arial"/>
                <w:sz w:val="21"/>
              </w:rPr>
            </w:pPr>
          </w:p>
        </w:tc>
        <w:tc>
          <w:tcPr>
            <w:tcW w:w="2745" w:type="dxa"/>
            <w:vAlign w:val="top"/>
          </w:tcPr>
          <w:p>
            <w:pPr>
              <w:pStyle w:val="18"/>
              <w:spacing w:before="93" w:line="167" w:lineRule="auto"/>
              <w:ind w:left="418"/>
            </w:pPr>
            <w:r>
              <w:rPr>
                <w:spacing w:val="-3"/>
              </w:rPr>
              <w:t>DN125</w:t>
            </w:r>
          </w:p>
        </w:tc>
        <w:tc>
          <w:tcPr>
            <w:tcW w:w="1485" w:type="dxa"/>
            <w:vAlign w:val="top"/>
          </w:tcPr>
          <w:p>
            <w:pPr>
              <w:pStyle w:val="18"/>
              <w:spacing w:before="93" w:line="167" w:lineRule="auto"/>
              <w:ind w:left="387"/>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007" w:type="dxa"/>
            <w:vMerge w:val="restart"/>
            <w:tcBorders>
              <w:left w:val="single" w:color="000000" w:sz="2" w:space="0"/>
              <w:bottom w:val="nil"/>
            </w:tcBorders>
            <w:vAlign w:val="top"/>
          </w:tcPr>
          <w:p>
            <w:pPr>
              <w:pStyle w:val="18"/>
              <w:spacing w:before="256" w:line="170" w:lineRule="auto"/>
              <w:ind w:left="312"/>
            </w:pPr>
            <w:r>
              <w:t>5</w:t>
            </w:r>
          </w:p>
        </w:tc>
        <w:tc>
          <w:tcPr>
            <w:tcW w:w="1155" w:type="dxa"/>
            <w:vMerge w:val="restart"/>
            <w:tcBorders>
              <w:bottom w:val="nil"/>
            </w:tcBorders>
            <w:vAlign w:val="top"/>
          </w:tcPr>
          <w:p>
            <w:pPr>
              <w:pStyle w:val="18"/>
              <w:spacing w:before="254" w:line="172" w:lineRule="auto"/>
              <w:ind w:left="282"/>
            </w:pPr>
            <w:r>
              <w:rPr>
                <w:spacing w:val="-5"/>
              </w:rPr>
              <w:t>15F</w:t>
            </w:r>
          </w:p>
        </w:tc>
        <w:tc>
          <w:tcPr>
            <w:tcW w:w="3120" w:type="dxa"/>
            <w:vMerge w:val="restart"/>
            <w:tcBorders>
              <w:bottom w:val="nil"/>
            </w:tcBorders>
            <w:vAlign w:val="top"/>
          </w:tcPr>
          <w:p>
            <w:pPr>
              <w:pStyle w:val="18"/>
              <w:spacing w:before="247" w:line="194" w:lineRule="auto"/>
              <w:ind w:left="351"/>
            </w:pPr>
            <w:r>
              <w:rPr>
                <w:spacing w:val="-2"/>
              </w:rPr>
              <w:t>中线对夹手柄蝶阀</w:t>
            </w:r>
          </w:p>
        </w:tc>
        <w:tc>
          <w:tcPr>
            <w:tcW w:w="2745" w:type="dxa"/>
            <w:vAlign w:val="top"/>
          </w:tcPr>
          <w:p>
            <w:pPr>
              <w:pStyle w:val="18"/>
              <w:spacing w:before="91" w:line="167" w:lineRule="auto"/>
              <w:ind w:left="418"/>
            </w:pPr>
            <w:r>
              <w:rPr>
                <w:spacing w:val="-3"/>
              </w:rPr>
              <w:t>DN125</w:t>
            </w:r>
          </w:p>
        </w:tc>
        <w:tc>
          <w:tcPr>
            <w:tcW w:w="1485" w:type="dxa"/>
            <w:vAlign w:val="top"/>
          </w:tcPr>
          <w:p>
            <w:pPr>
              <w:pStyle w:val="18"/>
              <w:spacing w:before="91" w:line="167" w:lineRule="auto"/>
              <w:ind w:left="387"/>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007" w:type="dxa"/>
            <w:vMerge w:val="continue"/>
            <w:tcBorders>
              <w:top w:val="nil"/>
              <w:left w:val="single" w:color="000000" w:sz="2" w:space="0"/>
            </w:tcBorders>
            <w:vAlign w:val="top"/>
          </w:tcPr>
          <w:p>
            <w:pPr>
              <w:rPr>
                <w:rFonts w:ascii="Arial"/>
                <w:sz w:val="21"/>
              </w:rPr>
            </w:pPr>
          </w:p>
        </w:tc>
        <w:tc>
          <w:tcPr>
            <w:tcW w:w="1155" w:type="dxa"/>
            <w:vMerge w:val="continue"/>
            <w:tcBorders>
              <w:top w:val="nil"/>
            </w:tcBorders>
            <w:vAlign w:val="top"/>
          </w:tcPr>
          <w:p>
            <w:pPr>
              <w:rPr>
                <w:rFonts w:ascii="Arial"/>
                <w:sz w:val="21"/>
              </w:rPr>
            </w:pPr>
          </w:p>
        </w:tc>
        <w:tc>
          <w:tcPr>
            <w:tcW w:w="3120" w:type="dxa"/>
            <w:vMerge w:val="continue"/>
            <w:tcBorders>
              <w:top w:val="nil"/>
            </w:tcBorders>
            <w:vAlign w:val="top"/>
          </w:tcPr>
          <w:p>
            <w:pPr>
              <w:rPr>
                <w:rFonts w:ascii="Arial"/>
                <w:sz w:val="21"/>
              </w:rPr>
            </w:pPr>
          </w:p>
        </w:tc>
        <w:tc>
          <w:tcPr>
            <w:tcW w:w="2745" w:type="dxa"/>
            <w:vAlign w:val="top"/>
          </w:tcPr>
          <w:p>
            <w:pPr>
              <w:pStyle w:val="18"/>
              <w:spacing w:before="92" w:line="167" w:lineRule="auto"/>
              <w:ind w:left="418"/>
            </w:pPr>
            <w:r>
              <w:rPr>
                <w:spacing w:val="-3"/>
              </w:rPr>
              <w:t>DN125</w:t>
            </w:r>
          </w:p>
        </w:tc>
        <w:tc>
          <w:tcPr>
            <w:tcW w:w="1485" w:type="dxa"/>
            <w:vAlign w:val="top"/>
          </w:tcPr>
          <w:p>
            <w:pPr>
              <w:pStyle w:val="18"/>
              <w:spacing w:before="92" w:line="167" w:lineRule="auto"/>
              <w:ind w:left="387"/>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007" w:type="dxa"/>
            <w:vMerge w:val="restart"/>
            <w:tcBorders>
              <w:left w:val="single" w:color="000000" w:sz="2" w:space="0"/>
              <w:bottom w:val="nil"/>
            </w:tcBorders>
            <w:vAlign w:val="top"/>
          </w:tcPr>
          <w:p>
            <w:pPr>
              <w:pStyle w:val="18"/>
              <w:spacing w:before="257" w:line="172" w:lineRule="auto"/>
              <w:ind w:left="307"/>
            </w:pPr>
            <w:r>
              <w:t>6</w:t>
            </w:r>
          </w:p>
        </w:tc>
        <w:tc>
          <w:tcPr>
            <w:tcW w:w="1155" w:type="dxa"/>
            <w:vMerge w:val="restart"/>
            <w:tcBorders>
              <w:bottom w:val="nil"/>
            </w:tcBorders>
            <w:vAlign w:val="top"/>
          </w:tcPr>
          <w:p>
            <w:pPr>
              <w:pStyle w:val="18"/>
              <w:spacing w:before="257" w:line="172" w:lineRule="auto"/>
              <w:ind w:left="282"/>
            </w:pPr>
            <w:r>
              <w:rPr>
                <w:spacing w:val="-5"/>
              </w:rPr>
              <w:t>14F</w:t>
            </w:r>
          </w:p>
        </w:tc>
        <w:tc>
          <w:tcPr>
            <w:tcW w:w="3120" w:type="dxa"/>
            <w:vMerge w:val="restart"/>
            <w:tcBorders>
              <w:bottom w:val="nil"/>
            </w:tcBorders>
            <w:vAlign w:val="top"/>
          </w:tcPr>
          <w:p>
            <w:pPr>
              <w:pStyle w:val="18"/>
              <w:spacing w:before="250" w:line="194" w:lineRule="auto"/>
              <w:ind w:left="351"/>
            </w:pPr>
            <w:r>
              <w:rPr>
                <w:spacing w:val="-2"/>
              </w:rPr>
              <w:t>中线对夹手柄蝶阀</w:t>
            </w:r>
          </w:p>
        </w:tc>
        <w:tc>
          <w:tcPr>
            <w:tcW w:w="2745" w:type="dxa"/>
            <w:vAlign w:val="top"/>
          </w:tcPr>
          <w:p>
            <w:pPr>
              <w:pStyle w:val="18"/>
              <w:spacing w:before="91" w:line="167" w:lineRule="auto"/>
              <w:ind w:left="418"/>
            </w:pPr>
            <w:r>
              <w:rPr>
                <w:spacing w:val="-3"/>
              </w:rPr>
              <w:t>DN125</w:t>
            </w:r>
          </w:p>
        </w:tc>
        <w:tc>
          <w:tcPr>
            <w:tcW w:w="1485" w:type="dxa"/>
            <w:vAlign w:val="top"/>
          </w:tcPr>
          <w:p>
            <w:pPr>
              <w:pStyle w:val="18"/>
              <w:spacing w:before="91" w:line="167" w:lineRule="auto"/>
              <w:ind w:left="387"/>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007" w:type="dxa"/>
            <w:vMerge w:val="continue"/>
            <w:tcBorders>
              <w:top w:val="nil"/>
              <w:left w:val="single" w:color="000000" w:sz="2" w:space="0"/>
            </w:tcBorders>
            <w:vAlign w:val="top"/>
          </w:tcPr>
          <w:p>
            <w:pPr>
              <w:rPr>
                <w:rFonts w:ascii="Arial"/>
                <w:sz w:val="21"/>
              </w:rPr>
            </w:pPr>
          </w:p>
        </w:tc>
        <w:tc>
          <w:tcPr>
            <w:tcW w:w="1155" w:type="dxa"/>
            <w:vMerge w:val="continue"/>
            <w:tcBorders>
              <w:top w:val="nil"/>
            </w:tcBorders>
            <w:vAlign w:val="top"/>
          </w:tcPr>
          <w:p>
            <w:pPr>
              <w:rPr>
                <w:rFonts w:ascii="Arial"/>
                <w:sz w:val="21"/>
              </w:rPr>
            </w:pPr>
          </w:p>
        </w:tc>
        <w:tc>
          <w:tcPr>
            <w:tcW w:w="3120" w:type="dxa"/>
            <w:vMerge w:val="continue"/>
            <w:tcBorders>
              <w:top w:val="nil"/>
            </w:tcBorders>
            <w:vAlign w:val="top"/>
          </w:tcPr>
          <w:p>
            <w:pPr>
              <w:rPr>
                <w:rFonts w:ascii="Arial"/>
                <w:sz w:val="21"/>
              </w:rPr>
            </w:pPr>
          </w:p>
        </w:tc>
        <w:tc>
          <w:tcPr>
            <w:tcW w:w="2745" w:type="dxa"/>
            <w:vAlign w:val="top"/>
          </w:tcPr>
          <w:p>
            <w:pPr>
              <w:pStyle w:val="18"/>
              <w:spacing w:before="94" w:line="166" w:lineRule="auto"/>
              <w:ind w:left="418"/>
            </w:pPr>
            <w:r>
              <w:rPr>
                <w:spacing w:val="-3"/>
              </w:rPr>
              <w:t>DN125</w:t>
            </w:r>
          </w:p>
        </w:tc>
        <w:tc>
          <w:tcPr>
            <w:tcW w:w="1485" w:type="dxa"/>
            <w:vAlign w:val="top"/>
          </w:tcPr>
          <w:p>
            <w:pPr>
              <w:pStyle w:val="18"/>
              <w:spacing w:before="94" w:line="166" w:lineRule="auto"/>
              <w:ind w:left="387"/>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007" w:type="dxa"/>
            <w:vMerge w:val="restart"/>
            <w:tcBorders>
              <w:left w:val="single" w:color="000000" w:sz="2" w:space="0"/>
              <w:bottom w:val="nil"/>
            </w:tcBorders>
            <w:vAlign w:val="top"/>
          </w:tcPr>
          <w:p>
            <w:pPr>
              <w:pStyle w:val="18"/>
              <w:spacing w:before="258" w:line="170" w:lineRule="auto"/>
              <w:ind w:left="307"/>
            </w:pPr>
            <w:r>
              <w:t>7</w:t>
            </w:r>
          </w:p>
        </w:tc>
        <w:tc>
          <w:tcPr>
            <w:tcW w:w="1155" w:type="dxa"/>
            <w:vMerge w:val="restart"/>
            <w:tcBorders>
              <w:bottom w:val="nil"/>
            </w:tcBorders>
            <w:vAlign w:val="top"/>
          </w:tcPr>
          <w:p>
            <w:pPr>
              <w:pStyle w:val="18"/>
              <w:spacing w:before="255" w:line="172" w:lineRule="auto"/>
              <w:ind w:left="282"/>
            </w:pPr>
            <w:r>
              <w:rPr>
                <w:spacing w:val="-5"/>
              </w:rPr>
              <w:t>13F</w:t>
            </w:r>
          </w:p>
        </w:tc>
        <w:tc>
          <w:tcPr>
            <w:tcW w:w="3120" w:type="dxa"/>
            <w:vMerge w:val="restart"/>
            <w:tcBorders>
              <w:bottom w:val="nil"/>
            </w:tcBorders>
            <w:vAlign w:val="top"/>
          </w:tcPr>
          <w:p>
            <w:pPr>
              <w:pStyle w:val="18"/>
              <w:spacing w:before="248" w:line="194" w:lineRule="auto"/>
              <w:ind w:left="351"/>
            </w:pPr>
            <w:r>
              <w:rPr>
                <w:spacing w:val="-2"/>
              </w:rPr>
              <w:t>中线对夹手柄蝶阀</w:t>
            </w:r>
          </w:p>
        </w:tc>
        <w:tc>
          <w:tcPr>
            <w:tcW w:w="2745" w:type="dxa"/>
            <w:vAlign w:val="top"/>
          </w:tcPr>
          <w:p>
            <w:pPr>
              <w:pStyle w:val="18"/>
              <w:spacing w:before="92" w:line="166" w:lineRule="auto"/>
              <w:ind w:left="418"/>
            </w:pPr>
            <w:r>
              <w:rPr>
                <w:spacing w:val="-3"/>
              </w:rPr>
              <w:t>DN125</w:t>
            </w:r>
          </w:p>
        </w:tc>
        <w:tc>
          <w:tcPr>
            <w:tcW w:w="1485" w:type="dxa"/>
            <w:vAlign w:val="top"/>
          </w:tcPr>
          <w:p>
            <w:pPr>
              <w:pStyle w:val="18"/>
              <w:spacing w:before="92" w:line="166" w:lineRule="auto"/>
              <w:ind w:left="387"/>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007" w:type="dxa"/>
            <w:vMerge w:val="continue"/>
            <w:tcBorders>
              <w:top w:val="nil"/>
              <w:left w:val="single" w:color="000000" w:sz="2" w:space="0"/>
            </w:tcBorders>
            <w:vAlign w:val="top"/>
          </w:tcPr>
          <w:p>
            <w:pPr>
              <w:rPr>
                <w:rFonts w:ascii="Arial"/>
                <w:sz w:val="21"/>
              </w:rPr>
            </w:pPr>
          </w:p>
        </w:tc>
        <w:tc>
          <w:tcPr>
            <w:tcW w:w="1155" w:type="dxa"/>
            <w:vMerge w:val="continue"/>
            <w:tcBorders>
              <w:top w:val="nil"/>
            </w:tcBorders>
            <w:vAlign w:val="top"/>
          </w:tcPr>
          <w:p>
            <w:pPr>
              <w:rPr>
                <w:rFonts w:ascii="Arial"/>
                <w:sz w:val="21"/>
              </w:rPr>
            </w:pPr>
          </w:p>
        </w:tc>
        <w:tc>
          <w:tcPr>
            <w:tcW w:w="3120" w:type="dxa"/>
            <w:vMerge w:val="continue"/>
            <w:tcBorders>
              <w:top w:val="nil"/>
            </w:tcBorders>
            <w:vAlign w:val="top"/>
          </w:tcPr>
          <w:p>
            <w:pPr>
              <w:rPr>
                <w:rFonts w:ascii="Arial"/>
                <w:sz w:val="21"/>
              </w:rPr>
            </w:pPr>
          </w:p>
        </w:tc>
        <w:tc>
          <w:tcPr>
            <w:tcW w:w="2745" w:type="dxa"/>
            <w:vAlign w:val="top"/>
          </w:tcPr>
          <w:p>
            <w:pPr>
              <w:pStyle w:val="18"/>
              <w:spacing w:before="92" w:line="166" w:lineRule="auto"/>
              <w:ind w:left="418"/>
            </w:pPr>
            <w:r>
              <w:rPr>
                <w:spacing w:val="-3"/>
              </w:rPr>
              <w:t>DN125</w:t>
            </w:r>
          </w:p>
        </w:tc>
        <w:tc>
          <w:tcPr>
            <w:tcW w:w="1485" w:type="dxa"/>
            <w:vAlign w:val="top"/>
          </w:tcPr>
          <w:p>
            <w:pPr>
              <w:pStyle w:val="18"/>
              <w:spacing w:before="92" w:line="166" w:lineRule="auto"/>
              <w:ind w:left="387"/>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007" w:type="dxa"/>
            <w:vMerge w:val="restart"/>
            <w:tcBorders>
              <w:left w:val="single" w:color="000000" w:sz="2" w:space="0"/>
              <w:bottom w:val="nil"/>
            </w:tcBorders>
            <w:vAlign w:val="top"/>
          </w:tcPr>
          <w:p>
            <w:pPr>
              <w:pStyle w:val="18"/>
              <w:spacing w:before="258" w:line="172" w:lineRule="auto"/>
              <w:ind w:left="306"/>
            </w:pPr>
            <w:r>
              <w:t>8</w:t>
            </w:r>
          </w:p>
        </w:tc>
        <w:tc>
          <w:tcPr>
            <w:tcW w:w="1155" w:type="dxa"/>
            <w:vMerge w:val="restart"/>
            <w:tcBorders>
              <w:bottom w:val="nil"/>
            </w:tcBorders>
            <w:vAlign w:val="top"/>
          </w:tcPr>
          <w:p>
            <w:pPr>
              <w:pStyle w:val="18"/>
              <w:spacing w:before="259" w:line="172" w:lineRule="auto"/>
              <w:ind w:left="282"/>
            </w:pPr>
            <w:r>
              <w:rPr>
                <w:spacing w:val="-5"/>
              </w:rPr>
              <w:t>12F</w:t>
            </w:r>
          </w:p>
        </w:tc>
        <w:tc>
          <w:tcPr>
            <w:tcW w:w="3120" w:type="dxa"/>
            <w:vMerge w:val="restart"/>
            <w:tcBorders>
              <w:bottom w:val="nil"/>
            </w:tcBorders>
            <w:vAlign w:val="top"/>
          </w:tcPr>
          <w:p>
            <w:pPr>
              <w:pStyle w:val="18"/>
              <w:spacing w:before="252" w:line="194" w:lineRule="auto"/>
              <w:ind w:left="351"/>
            </w:pPr>
            <w:r>
              <w:rPr>
                <w:spacing w:val="-2"/>
              </w:rPr>
              <w:t>中线对夹手柄蝶阀</w:t>
            </w:r>
          </w:p>
        </w:tc>
        <w:tc>
          <w:tcPr>
            <w:tcW w:w="2745" w:type="dxa"/>
            <w:vAlign w:val="top"/>
          </w:tcPr>
          <w:p>
            <w:pPr>
              <w:pStyle w:val="18"/>
              <w:spacing w:before="93" w:line="165" w:lineRule="auto"/>
              <w:ind w:left="418"/>
            </w:pPr>
            <w:r>
              <w:rPr>
                <w:spacing w:val="-3"/>
              </w:rPr>
              <w:t>DN125</w:t>
            </w:r>
          </w:p>
        </w:tc>
        <w:tc>
          <w:tcPr>
            <w:tcW w:w="1485" w:type="dxa"/>
            <w:vAlign w:val="top"/>
          </w:tcPr>
          <w:p>
            <w:pPr>
              <w:pStyle w:val="18"/>
              <w:spacing w:before="93" w:line="165" w:lineRule="auto"/>
              <w:ind w:left="387"/>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07" w:type="dxa"/>
            <w:vMerge w:val="continue"/>
            <w:tcBorders>
              <w:top w:val="nil"/>
              <w:left w:val="single" w:color="000000" w:sz="2" w:space="0"/>
            </w:tcBorders>
            <w:vAlign w:val="top"/>
          </w:tcPr>
          <w:p>
            <w:pPr>
              <w:rPr>
                <w:rFonts w:ascii="Arial"/>
                <w:sz w:val="21"/>
              </w:rPr>
            </w:pPr>
          </w:p>
        </w:tc>
        <w:tc>
          <w:tcPr>
            <w:tcW w:w="1155" w:type="dxa"/>
            <w:vMerge w:val="continue"/>
            <w:tcBorders>
              <w:top w:val="nil"/>
            </w:tcBorders>
            <w:vAlign w:val="top"/>
          </w:tcPr>
          <w:p>
            <w:pPr>
              <w:rPr>
                <w:rFonts w:ascii="Arial"/>
                <w:sz w:val="21"/>
              </w:rPr>
            </w:pPr>
          </w:p>
        </w:tc>
        <w:tc>
          <w:tcPr>
            <w:tcW w:w="3120" w:type="dxa"/>
            <w:vMerge w:val="continue"/>
            <w:tcBorders>
              <w:top w:val="nil"/>
            </w:tcBorders>
            <w:vAlign w:val="top"/>
          </w:tcPr>
          <w:p>
            <w:pPr>
              <w:rPr>
                <w:rFonts w:ascii="Arial"/>
                <w:sz w:val="21"/>
              </w:rPr>
            </w:pPr>
          </w:p>
        </w:tc>
        <w:tc>
          <w:tcPr>
            <w:tcW w:w="2745" w:type="dxa"/>
            <w:vAlign w:val="top"/>
          </w:tcPr>
          <w:p>
            <w:pPr>
              <w:pStyle w:val="18"/>
              <w:spacing w:before="95" w:line="166" w:lineRule="auto"/>
              <w:ind w:left="418"/>
            </w:pPr>
            <w:r>
              <w:rPr>
                <w:spacing w:val="-3"/>
              </w:rPr>
              <w:t>DN125</w:t>
            </w:r>
          </w:p>
        </w:tc>
        <w:tc>
          <w:tcPr>
            <w:tcW w:w="1485" w:type="dxa"/>
            <w:vAlign w:val="top"/>
          </w:tcPr>
          <w:p>
            <w:pPr>
              <w:pStyle w:val="18"/>
              <w:spacing w:before="95" w:line="166" w:lineRule="auto"/>
              <w:ind w:left="387"/>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007" w:type="dxa"/>
            <w:vMerge w:val="restart"/>
            <w:tcBorders>
              <w:left w:val="single" w:color="000000" w:sz="2" w:space="0"/>
              <w:bottom w:val="nil"/>
            </w:tcBorders>
            <w:vAlign w:val="top"/>
          </w:tcPr>
          <w:p>
            <w:pPr>
              <w:pStyle w:val="18"/>
              <w:spacing w:before="256" w:line="172" w:lineRule="auto"/>
              <w:ind w:left="306"/>
            </w:pPr>
            <w:r>
              <w:t>9</w:t>
            </w:r>
          </w:p>
        </w:tc>
        <w:tc>
          <w:tcPr>
            <w:tcW w:w="1155" w:type="dxa"/>
            <w:vMerge w:val="restart"/>
            <w:tcBorders>
              <w:bottom w:val="nil"/>
            </w:tcBorders>
            <w:vAlign w:val="top"/>
          </w:tcPr>
          <w:p>
            <w:pPr>
              <w:pStyle w:val="18"/>
              <w:spacing w:before="257" w:line="172" w:lineRule="auto"/>
              <w:ind w:left="282"/>
            </w:pPr>
            <w:r>
              <w:rPr>
                <w:spacing w:val="-5"/>
              </w:rPr>
              <w:t>11F</w:t>
            </w:r>
          </w:p>
        </w:tc>
        <w:tc>
          <w:tcPr>
            <w:tcW w:w="3120" w:type="dxa"/>
            <w:vMerge w:val="restart"/>
            <w:tcBorders>
              <w:bottom w:val="nil"/>
            </w:tcBorders>
            <w:vAlign w:val="top"/>
          </w:tcPr>
          <w:p>
            <w:pPr>
              <w:pStyle w:val="18"/>
              <w:spacing w:before="249" w:line="194" w:lineRule="auto"/>
              <w:ind w:left="351"/>
            </w:pPr>
            <w:r>
              <w:rPr>
                <w:spacing w:val="-2"/>
              </w:rPr>
              <w:t>中线对夹手柄蝶阀</w:t>
            </w:r>
          </w:p>
        </w:tc>
        <w:tc>
          <w:tcPr>
            <w:tcW w:w="2745" w:type="dxa"/>
            <w:vAlign w:val="top"/>
          </w:tcPr>
          <w:p>
            <w:pPr>
              <w:pStyle w:val="18"/>
              <w:spacing w:before="93" w:line="165" w:lineRule="auto"/>
              <w:ind w:left="418"/>
            </w:pPr>
            <w:r>
              <w:rPr>
                <w:spacing w:val="-3"/>
              </w:rPr>
              <w:t>DN125</w:t>
            </w:r>
          </w:p>
        </w:tc>
        <w:tc>
          <w:tcPr>
            <w:tcW w:w="1485" w:type="dxa"/>
            <w:vAlign w:val="top"/>
          </w:tcPr>
          <w:p>
            <w:pPr>
              <w:pStyle w:val="18"/>
              <w:spacing w:before="93" w:line="165" w:lineRule="auto"/>
              <w:ind w:left="387"/>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007" w:type="dxa"/>
            <w:vMerge w:val="continue"/>
            <w:tcBorders>
              <w:top w:val="nil"/>
              <w:left w:val="single" w:color="000000" w:sz="2" w:space="0"/>
            </w:tcBorders>
            <w:vAlign w:val="top"/>
          </w:tcPr>
          <w:p>
            <w:pPr>
              <w:rPr>
                <w:rFonts w:ascii="Arial"/>
                <w:sz w:val="21"/>
              </w:rPr>
            </w:pPr>
          </w:p>
        </w:tc>
        <w:tc>
          <w:tcPr>
            <w:tcW w:w="1155" w:type="dxa"/>
            <w:vMerge w:val="continue"/>
            <w:tcBorders>
              <w:top w:val="nil"/>
            </w:tcBorders>
            <w:vAlign w:val="top"/>
          </w:tcPr>
          <w:p>
            <w:pPr>
              <w:rPr>
                <w:rFonts w:ascii="Arial"/>
                <w:sz w:val="21"/>
              </w:rPr>
            </w:pPr>
          </w:p>
        </w:tc>
        <w:tc>
          <w:tcPr>
            <w:tcW w:w="3120" w:type="dxa"/>
            <w:vMerge w:val="continue"/>
            <w:tcBorders>
              <w:top w:val="nil"/>
            </w:tcBorders>
            <w:vAlign w:val="top"/>
          </w:tcPr>
          <w:p>
            <w:pPr>
              <w:rPr>
                <w:rFonts w:ascii="Arial"/>
                <w:sz w:val="21"/>
              </w:rPr>
            </w:pPr>
          </w:p>
        </w:tc>
        <w:tc>
          <w:tcPr>
            <w:tcW w:w="2745" w:type="dxa"/>
            <w:vAlign w:val="top"/>
          </w:tcPr>
          <w:p>
            <w:pPr>
              <w:pStyle w:val="18"/>
              <w:spacing w:before="93" w:line="165" w:lineRule="auto"/>
              <w:ind w:left="418"/>
            </w:pPr>
            <w:r>
              <w:rPr>
                <w:spacing w:val="-3"/>
              </w:rPr>
              <w:t>DN125</w:t>
            </w:r>
          </w:p>
        </w:tc>
        <w:tc>
          <w:tcPr>
            <w:tcW w:w="1485" w:type="dxa"/>
            <w:vAlign w:val="top"/>
          </w:tcPr>
          <w:p>
            <w:pPr>
              <w:pStyle w:val="18"/>
              <w:spacing w:before="93" w:line="165" w:lineRule="auto"/>
              <w:ind w:left="387"/>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007" w:type="dxa"/>
            <w:vMerge w:val="restart"/>
            <w:tcBorders>
              <w:left w:val="single" w:color="000000" w:sz="2" w:space="0"/>
              <w:bottom w:val="nil"/>
            </w:tcBorders>
            <w:vAlign w:val="top"/>
          </w:tcPr>
          <w:p>
            <w:pPr>
              <w:pStyle w:val="18"/>
              <w:spacing w:before="260" w:line="172" w:lineRule="auto"/>
              <w:ind w:left="263"/>
            </w:pPr>
            <w:r>
              <w:rPr>
                <w:spacing w:val="-5"/>
              </w:rPr>
              <w:t>10</w:t>
            </w:r>
          </w:p>
        </w:tc>
        <w:tc>
          <w:tcPr>
            <w:tcW w:w="1155" w:type="dxa"/>
            <w:vMerge w:val="restart"/>
            <w:tcBorders>
              <w:bottom w:val="nil"/>
            </w:tcBorders>
            <w:vAlign w:val="top"/>
          </w:tcPr>
          <w:p>
            <w:pPr>
              <w:pStyle w:val="18"/>
              <w:spacing w:before="260" w:line="172" w:lineRule="auto"/>
              <w:ind w:left="282"/>
            </w:pPr>
            <w:r>
              <w:rPr>
                <w:spacing w:val="-5"/>
              </w:rPr>
              <w:t>10F</w:t>
            </w:r>
          </w:p>
        </w:tc>
        <w:tc>
          <w:tcPr>
            <w:tcW w:w="3120" w:type="dxa"/>
            <w:vMerge w:val="restart"/>
            <w:tcBorders>
              <w:bottom w:val="nil"/>
            </w:tcBorders>
            <w:vAlign w:val="top"/>
          </w:tcPr>
          <w:p>
            <w:pPr>
              <w:pStyle w:val="18"/>
              <w:spacing w:before="253" w:line="194" w:lineRule="auto"/>
              <w:ind w:left="351"/>
            </w:pPr>
            <w:r>
              <w:rPr>
                <w:spacing w:val="-2"/>
              </w:rPr>
              <w:t>中线对夹手柄蝶阀</w:t>
            </w:r>
          </w:p>
        </w:tc>
        <w:tc>
          <w:tcPr>
            <w:tcW w:w="2745" w:type="dxa"/>
            <w:vAlign w:val="top"/>
          </w:tcPr>
          <w:p>
            <w:pPr>
              <w:pStyle w:val="18"/>
              <w:spacing w:before="93" w:line="165" w:lineRule="auto"/>
              <w:ind w:left="418"/>
            </w:pPr>
            <w:r>
              <w:rPr>
                <w:spacing w:val="-3"/>
              </w:rPr>
              <w:t>DN125</w:t>
            </w:r>
          </w:p>
        </w:tc>
        <w:tc>
          <w:tcPr>
            <w:tcW w:w="1485" w:type="dxa"/>
            <w:vAlign w:val="top"/>
          </w:tcPr>
          <w:p>
            <w:pPr>
              <w:pStyle w:val="18"/>
              <w:spacing w:before="93" w:line="165" w:lineRule="auto"/>
              <w:ind w:left="387"/>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007" w:type="dxa"/>
            <w:vMerge w:val="continue"/>
            <w:tcBorders>
              <w:top w:val="nil"/>
              <w:left w:val="single" w:color="000000" w:sz="2" w:space="0"/>
            </w:tcBorders>
            <w:vAlign w:val="top"/>
          </w:tcPr>
          <w:p>
            <w:pPr>
              <w:rPr>
                <w:rFonts w:ascii="Arial"/>
                <w:sz w:val="21"/>
              </w:rPr>
            </w:pPr>
          </w:p>
        </w:tc>
        <w:tc>
          <w:tcPr>
            <w:tcW w:w="1155" w:type="dxa"/>
            <w:vMerge w:val="continue"/>
            <w:tcBorders>
              <w:top w:val="nil"/>
            </w:tcBorders>
            <w:vAlign w:val="top"/>
          </w:tcPr>
          <w:p>
            <w:pPr>
              <w:rPr>
                <w:rFonts w:ascii="Arial"/>
                <w:sz w:val="21"/>
              </w:rPr>
            </w:pPr>
          </w:p>
        </w:tc>
        <w:tc>
          <w:tcPr>
            <w:tcW w:w="3120" w:type="dxa"/>
            <w:vMerge w:val="continue"/>
            <w:tcBorders>
              <w:top w:val="nil"/>
            </w:tcBorders>
            <w:vAlign w:val="top"/>
          </w:tcPr>
          <w:p>
            <w:pPr>
              <w:rPr>
                <w:rFonts w:ascii="Arial"/>
                <w:sz w:val="21"/>
              </w:rPr>
            </w:pPr>
          </w:p>
        </w:tc>
        <w:tc>
          <w:tcPr>
            <w:tcW w:w="2745" w:type="dxa"/>
            <w:vAlign w:val="top"/>
          </w:tcPr>
          <w:p>
            <w:pPr>
              <w:pStyle w:val="18"/>
              <w:spacing w:before="96" w:line="164" w:lineRule="auto"/>
              <w:ind w:left="418"/>
            </w:pPr>
            <w:r>
              <w:rPr>
                <w:spacing w:val="-3"/>
              </w:rPr>
              <w:t>DN125</w:t>
            </w:r>
          </w:p>
        </w:tc>
        <w:tc>
          <w:tcPr>
            <w:tcW w:w="1485" w:type="dxa"/>
            <w:vAlign w:val="top"/>
          </w:tcPr>
          <w:p>
            <w:pPr>
              <w:pStyle w:val="18"/>
              <w:spacing w:before="96" w:line="164" w:lineRule="auto"/>
              <w:ind w:left="387"/>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007" w:type="dxa"/>
            <w:vMerge w:val="restart"/>
            <w:tcBorders>
              <w:left w:val="single" w:color="000000" w:sz="2" w:space="0"/>
              <w:bottom w:val="nil"/>
            </w:tcBorders>
            <w:vAlign w:val="top"/>
          </w:tcPr>
          <w:p>
            <w:pPr>
              <w:pStyle w:val="18"/>
              <w:spacing w:before="259" w:line="172" w:lineRule="auto"/>
              <w:ind w:left="263"/>
            </w:pPr>
            <w:r>
              <w:rPr>
                <w:spacing w:val="-5"/>
              </w:rPr>
              <w:t>11</w:t>
            </w:r>
          </w:p>
        </w:tc>
        <w:tc>
          <w:tcPr>
            <w:tcW w:w="1155" w:type="dxa"/>
            <w:vMerge w:val="restart"/>
            <w:tcBorders>
              <w:bottom w:val="nil"/>
            </w:tcBorders>
            <w:vAlign w:val="top"/>
          </w:tcPr>
          <w:p>
            <w:pPr>
              <w:pStyle w:val="18"/>
              <w:spacing w:before="259" w:line="172" w:lineRule="auto"/>
              <w:ind w:left="325"/>
            </w:pPr>
            <w:r>
              <w:rPr>
                <w:spacing w:val="-3"/>
              </w:rPr>
              <w:t>9F</w:t>
            </w:r>
          </w:p>
        </w:tc>
        <w:tc>
          <w:tcPr>
            <w:tcW w:w="3120" w:type="dxa"/>
            <w:vMerge w:val="restart"/>
            <w:tcBorders>
              <w:bottom w:val="nil"/>
            </w:tcBorders>
            <w:vAlign w:val="top"/>
          </w:tcPr>
          <w:p>
            <w:pPr>
              <w:pStyle w:val="18"/>
              <w:spacing w:before="252" w:line="194" w:lineRule="auto"/>
              <w:ind w:left="351"/>
            </w:pPr>
            <w:r>
              <w:rPr>
                <w:spacing w:val="-2"/>
              </w:rPr>
              <w:t>中线对夹手柄蝶阀</w:t>
            </w:r>
          </w:p>
        </w:tc>
        <w:tc>
          <w:tcPr>
            <w:tcW w:w="2745" w:type="dxa"/>
            <w:vAlign w:val="top"/>
          </w:tcPr>
          <w:p>
            <w:pPr>
              <w:pStyle w:val="18"/>
              <w:spacing w:before="94" w:line="164" w:lineRule="auto"/>
              <w:ind w:left="418"/>
            </w:pPr>
            <w:r>
              <w:rPr>
                <w:spacing w:val="-3"/>
              </w:rPr>
              <w:t>DN125</w:t>
            </w:r>
          </w:p>
        </w:tc>
        <w:tc>
          <w:tcPr>
            <w:tcW w:w="1485" w:type="dxa"/>
            <w:vAlign w:val="top"/>
          </w:tcPr>
          <w:p>
            <w:pPr>
              <w:pStyle w:val="18"/>
              <w:spacing w:before="94" w:line="164" w:lineRule="auto"/>
              <w:ind w:left="387"/>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007" w:type="dxa"/>
            <w:vMerge w:val="continue"/>
            <w:tcBorders>
              <w:top w:val="nil"/>
              <w:left w:val="single" w:color="000000" w:sz="2" w:space="0"/>
            </w:tcBorders>
            <w:vAlign w:val="top"/>
          </w:tcPr>
          <w:p>
            <w:pPr>
              <w:rPr>
                <w:rFonts w:ascii="Arial"/>
                <w:sz w:val="21"/>
              </w:rPr>
            </w:pPr>
          </w:p>
        </w:tc>
        <w:tc>
          <w:tcPr>
            <w:tcW w:w="1155" w:type="dxa"/>
            <w:vMerge w:val="continue"/>
            <w:tcBorders>
              <w:top w:val="nil"/>
            </w:tcBorders>
            <w:vAlign w:val="top"/>
          </w:tcPr>
          <w:p>
            <w:pPr>
              <w:rPr>
                <w:rFonts w:ascii="Arial"/>
                <w:sz w:val="21"/>
              </w:rPr>
            </w:pPr>
          </w:p>
        </w:tc>
        <w:tc>
          <w:tcPr>
            <w:tcW w:w="3120" w:type="dxa"/>
            <w:vMerge w:val="continue"/>
            <w:tcBorders>
              <w:top w:val="nil"/>
            </w:tcBorders>
            <w:vAlign w:val="top"/>
          </w:tcPr>
          <w:p>
            <w:pPr>
              <w:rPr>
                <w:rFonts w:ascii="Arial"/>
                <w:sz w:val="21"/>
              </w:rPr>
            </w:pPr>
          </w:p>
        </w:tc>
        <w:tc>
          <w:tcPr>
            <w:tcW w:w="2745" w:type="dxa"/>
            <w:vAlign w:val="top"/>
          </w:tcPr>
          <w:p>
            <w:pPr>
              <w:pStyle w:val="18"/>
              <w:spacing w:before="95" w:line="164" w:lineRule="auto"/>
              <w:ind w:left="418"/>
            </w:pPr>
            <w:r>
              <w:rPr>
                <w:spacing w:val="-3"/>
              </w:rPr>
              <w:t>DN125</w:t>
            </w:r>
          </w:p>
        </w:tc>
        <w:tc>
          <w:tcPr>
            <w:tcW w:w="1485" w:type="dxa"/>
            <w:vAlign w:val="top"/>
          </w:tcPr>
          <w:p>
            <w:pPr>
              <w:pStyle w:val="18"/>
              <w:spacing w:before="95" w:line="164" w:lineRule="auto"/>
              <w:ind w:left="387"/>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007" w:type="dxa"/>
            <w:vMerge w:val="restart"/>
            <w:tcBorders>
              <w:left w:val="single" w:color="000000" w:sz="2" w:space="0"/>
              <w:bottom w:val="nil"/>
            </w:tcBorders>
            <w:vAlign w:val="top"/>
          </w:tcPr>
          <w:p>
            <w:pPr>
              <w:pStyle w:val="18"/>
              <w:spacing w:before="259" w:line="172" w:lineRule="auto"/>
              <w:ind w:left="263"/>
            </w:pPr>
            <w:r>
              <w:rPr>
                <w:spacing w:val="-5"/>
              </w:rPr>
              <w:t>12</w:t>
            </w:r>
          </w:p>
        </w:tc>
        <w:tc>
          <w:tcPr>
            <w:tcW w:w="1155" w:type="dxa"/>
            <w:vMerge w:val="restart"/>
            <w:tcBorders>
              <w:bottom w:val="nil"/>
            </w:tcBorders>
            <w:vAlign w:val="top"/>
          </w:tcPr>
          <w:p>
            <w:pPr>
              <w:pStyle w:val="18"/>
              <w:spacing w:before="259" w:line="172" w:lineRule="auto"/>
              <w:ind w:left="325"/>
            </w:pPr>
            <w:r>
              <w:rPr>
                <w:spacing w:val="-3"/>
              </w:rPr>
              <w:t>8F</w:t>
            </w:r>
          </w:p>
        </w:tc>
        <w:tc>
          <w:tcPr>
            <w:tcW w:w="3120" w:type="dxa"/>
            <w:vMerge w:val="restart"/>
            <w:tcBorders>
              <w:bottom w:val="nil"/>
            </w:tcBorders>
            <w:vAlign w:val="top"/>
          </w:tcPr>
          <w:p>
            <w:pPr>
              <w:pStyle w:val="18"/>
              <w:spacing w:before="252" w:line="194" w:lineRule="auto"/>
              <w:ind w:left="351"/>
            </w:pPr>
            <w:r>
              <w:rPr>
                <w:spacing w:val="-2"/>
              </w:rPr>
              <w:t>中线对夹手柄蝶阀</w:t>
            </w:r>
          </w:p>
        </w:tc>
        <w:tc>
          <w:tcPr>
            <w:tcW w:w="2745" w:type="dxa"/>
            <w:vAlign w:val="top"/>
          </w:tcPr>
          <w:p>
            <w:pPr>
              <w:pStyle w:val="18"/>
              <w:spacing w:before="96" w:line="163" w:lineRule="auto"/>
              <w:ind w:left="418"/>
            </w:pPr>
            <w:r>
              <w:rPr>
                <w:spacing w:val="-3"/>
              </w:rPr>
              <w:t>DN125</w:t>
            </w:r>
          </w:p>
        </w:tc>
        <w:tc>
          <w:tcPr>
            <w:tcW w:w="1485" w:type="dxa"/>
            <w:vAlign w:val="top"/>
          </w:tcPr>
          <w:p>
            <w:pPr>
              <w:pStyle w:val="18"/>
              <w:spacing w:before="96" w:line="163" w:lineRule="auto"/>
              <w:ind w:left="387"/>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07" w:type="dxa"/>
            <w:vMerge w:val="continue"/>
            <w:tcBorders>
              <w:top w:val="nil"/>
              <w:left w:val="single" w:color="000000" w:sz="2" w:space="0"/>
            </w:tcBorders>
            <w:vAlign w:val="top"/>
          </w:tcPr>
          <w:p>
            <w:pPr>
              <w:rPr>
                <w:rFonts w:ascii="Arial"/>
                <w:sz w:val="21"/>
              </w:rPr>
            </w:pPr>
          </w:p>
        </w:tc>
        <w:tc>
          <w:tcPr>
            <w:tcW w:w="1155" w:type="dxa"/>
            <w:vMerge w:val="continue"/>
            <w:tcBorders>
              <w:top w:val="nil"/>
            </w:tcBorders>
            <w:vAlign w:val="top"/>
          </w:tcPr>
          <w:p>
            <w:pPr>
              <w:rPr>
                <w:rFonts w:ascii="Arial"/>
                <w:sz w:val="21"/>
              </w:rPr>
            </w:pPr>
          </w:p>
        </w:tc>
        <w:tc>
          <w:tcPr>
            <w:tcW w:w="3120" w:type="dxa"/>
            <w:vMerge w:val="continue"/>
            <w:tcBorders>
              <w:top w:val="nil"/>
            </w:tcBorders>
            <w:vAlign w:val="top"/>
          </w:tcPr>
          <w:p>
            <w:pPr>
              <w:rPr>
                <w:rFonts w:ascii="Arial"/>
                <w:sz w:val="21"/>
              </w:rPr>
            </w:pPr>
          </w:p>
        </w:tc>
        <w:tc>
          <w:tcPr>
            <w:tcW w:w="2745" w:type="dxa"/>
            <w:vAlign w:val="top"/>
          </w:tcPr>
          <w:p>
            <w:pPr>
              <w:pStyle w:val="18"/>
              <w:spacing w:before="97" w:line="164" w:lineRule="auto"/>
              <w:ind w:left="418"/>
            </w:pPr>
            <w:r>
              <w:rPr>
                <w:spacing w:val="-3"/>
              </w:rPr>
              <w:t>DN125</w:t>
            </w:r>
          </w:p>
        </w:tc>
        <w:tc>
          <w:tcPr>
            <w:tcW w:w="1485" w:type="dxa"/>
            <w:vAlign w:val="top"/>
          </w:tcPr>
          <w:p>
            <w:pPr>
              <w:pStyle w:val="18"/>
              <w:spacing w:before="97" w:line="164" w:lineRule="auto"/>
              <w:ind w:left="387"/>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007" w:type="dxa"/>
            <w:vMerge w:val="restart"/>
            <w:tcBorders>
              <w:left w:val="single" w:color="000000" w:sz="2" w:space="0"/>
              <w:bottom w:val="nil"/>
            </w:tcBorders>
            <w:vAlign w:val="top"/>
          </w:tcPr>
          <w:p>
            <w:pPr>
              <w:pStyle w:val="18"/>
              <w:spacing w:before="259" w:line="172" w:lineRule="auto"/>
              <w:ind w:left="263"/>
            </w:pPr>
            <w:r>
              <w:rPr>
                <w:spacing w:val="-5"/>
              </w:rPr>
              <w:t>13</w:t>
            </w:r>
          </w:p>
        </w:tc>
        <w:tc>
          <w:tcPr>
            <w:tcW w:w="1155" w:type="dxa"/>
            <w:vMerge w:val="restart"/>
            <w:tcBorders>
              <w:bottom w:val="nil"/>
            </w:tcBorders>
            <w:vAlign w:val="top"/>
          </w:tcPr>
          <w:p>
            <w:pPr>
              <w:pStyle w:val="18"/>
              <w:spacing w:before="262" w:line="170" w:lineRule="auto"/>
              <w:ind w:left="326"/>
            </w:pPr>
            <w:r>
              <w:rPr>
                <w:spacing w:val="-3"/>
              </w:rPr>
              <w:t>7F</w:t>
            </w:r>
          </w:p>
        </w:tc>
        <w:tc>
          <w:tcPr>
            <w:tcW w:w="3120" w:type="dxa"/>
            <w:vMerge w:val="restart"/>
            <w:tcBorders>
              <w:bottom w:val="nil"/>
            </w:tcBorders>
            <w:vAlign w:val="top"/>
          </w:tcPr>
          <w:p>
            <w:pPr>
              <w:pStyle w:val="18"/>
              <w:spacing w:before="252" w:line="194" w:lineRule="auto"/>
              <w:ind w:left="351"/>
            </w:pPr>
            <w:r>
              <w:rPr>
                <w:spacing w:val="-2"/>
              </w:rPr>
              <w:t>中线对夹手柄蝶阀</w:t>
            </w:r>
          </w:p>
        </w:tc>
        <w:tc>
          <w:tcPr>
            <w:tcW w:w="2745" w:type="dxa"/>
            <w:vAlign w:val="top"/>
          </w:tcPr>
          <w:p>
            <w:pPr>
              <w:pStyle w:val="18"/>
              <w:spacing w:before="96" w:line="163" w:lineRule="auto"/>
              <w:ind w:left="418"/>
            </w:pPr>
            <w:r>
              <w:rPr>
                <w:spacing w:val="-3"/>
              </w:rPr>
              <w:t>DN100</w:t>
            </w:r>
          </w:p>
        </w:tc>
        <w:tc>
          <w:tcPr>
            <w:tcW w:w="1485" w:type="dxa"/>
            <w:vAlign w:val="top"/>
          </w:tcPr>
          <w:p>
            <w:pPr>
              <w:pStyle w:val="18"/>
              <w:spacing w:before="96" w:line="163" w:lineRule="auto"/>
              <w:ind w:left="387"/>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007" w:type="dxa"/>
            <w:vMerge w:val="continue"/>
            <w:tcBorders>
              <w:top w:val="nil"/>
              <w:left w:val="single" w:color="000000" w:sz="2" w:space="0"/>
            </w:tcBorders>
            <w:vAlign w:val="top"/>
          </w:tcPr>
          <w:p>
            <w:pPr>
              <w:rPr>
                <w:rFonts w:ascii="Arial"/>
                <w:sz w:val="21"/>
              </w:rPr>
            </w:pPr>
          </w:p>
        </w:tc>
        <w:tc>
          <w:tcPr>
            <w:tcW w:w="1155" w:type="dxa"/>
            <w:vMerge w:val="continue"/>
            <w:tcBorders>
              <w:top w:val="nil"/>
            </w:tcBorders>
            <w:vAlign w:val="top"/>
          </w:tcPr>
          <w:p>
            <w:pPr>
              <w:rPr>
                <w:rFonts w:ascii="Arial"/>
                <w:sz w:val="21"/>
              </w:rPr>
            </w:pPr>
          </w:p>
        </w:tc>
        <w:tc>
          <w:tcPr>
            <w:tcW w:w="3120" w:type="dxa"/>
            <w:vMerge w:val="continue"/>
            <w:tcBorders>
              <w:top w:val="nil"/>
            </w:tcBorders>
            <w:vAlign w:val="top"/>
          </w:tcPr>
          <w:p>
            <w:pPr>
              <w:rPr>
                <w:rFonts w:ascii="Arial"/>
                <w:sz w:val="21"/>
              </w:rPr>
            </w:pPr>
          </w:p>
        </w:tc>
        <w:tc>
          <w:tcPr>
            <w:tcW w:w="2745" w:type="dxa"/>
            <w:vAlign w:val="top"/>
          </w:tcPr>
          <w:p>
            <w:pPr>
              <w:pStyle w:val="18"/>
              <w:spacing w:before="96" w:line="163" w:lineRule="auto"/>
              <w:ind w:left="418"/>
            </w:pPr>
            <w:r>
              <w:rPr>
                <w:spacing w:val="-3"/>
              </w:rPr>
              <w:t>DN100</w:t>
            </w:r>
          </w:p>
        </w:tc>
        <w:tc>
          <w:tcPr>
            <w:tcW w:w="1485" w:type="dxa"/>
            <w:vAlign w:val="top"/>
          </w:tcPr>
          <w:p>
            <w:pPr>
              <w:pStyle w:val="18"/>
              <w:spacing w:before="96" w:line="163" w:lineRule="auto"/>
              <w:ind w:left="387"/>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007" w:type="dxa"/>
            <w:vMerge w:val="restart"/>
            <w:tcBorders>
              <w:left w:val="single" w:color="000000" w:sz="2" w:space="0"/>
              <w:bottom w:val="nil"/>
            </w:tcBorders>
            <w:vAlign w:val="top"/>
          </w:tcPr>
          <w:p>
            <w:pPr>
              <w:pStyle w:val="18"/>
              <w:spacing w:before="260" w:line="172" w:lineRule="auto"/>
              <w:ind w:left="263"/>
            </w:pPr>
            <w:r>
              <w:rPr>
                <w:spacing w:val="-5"/>
              </w:rPr>
              <w:t>14</w:t>
            </w:r>
          </w:p>
        </w:tc>
        <w:tc>
          <w:tcPr>
            <w:tcW w:w="1155" w:type="dxa"/>
            <w:vMerge w:val="restart"/>
            <w:tcBorders>
              <w:bottom w:val="nil"/>
            </w:tcBorders>
            <w:vAlign w:val="top"/>
          </w:tcPr>
          <w:p>
            <w:pPr>
              <w:pStyle w:val="18"/>
              <w:spacing w:before="260" w:line="172" w:lineRule="auto"/>
              <w:ind w:left="326"/>
            </w:pPr>
            <w:r>
              <w:rPr>
                <w:spacing w:val="-3"/>
              </w:rPr>
              <w:t>6F</w:t>
            </w:r>
          </w:p>
        </w:tc>
        <w:tc>
          <w:tcPr>
            <w:tcW w:w="3120" w:type="dxa"/>
            <w:vMerge w:val="restart"/>
            <w:tcBorders>
              <w:bottom w:val="nil"/>
            </w:tcBorders>
            <w:vAlign w:val="top"/>
          </w:tcPr>
          <w:p>
            <w:pPr>
              <w:pStyle w:val="18"/>
              <w:spacing w:before="253" w:line="194" w:lineRule="auto"/>
              <w:ind w:left="351"/>
            </w:pPr>
            <w:r>
              <w:rPr>
                <w:spacing w:val="-2"/>
              </w:rPr>
              <w:t>中线对夹手柄蝶阀</w:t>
            </w:r>
          </w:p>
        </w:tc>
        <w:tc>
          <w:tcPr>
            <w:tcW w:w="2745" w:type="dxa"/>
            <w:vAlign w:val="top"/>
          </w:tcPr>
          <w:p>
            <w:pPr>
              <w:pStyle w:val="18"/>
              <w:spacing w:before="96" w:line="163" w:lineRule="auto"/>
              <w:ind w:left="418"/>
            </w:pPr>
            <w:r>
              <w:rPr>
                <w:spacing w:val="-3"/>
              </w:rPr>
              <w:t>DN125</w:t>
            </w:r>
          </w:p>
        </w:tc>
        <w:tc>
          <w:tcPr>
            <w:tcW w:w="1485" w:type="dxa"/>
            <w:vAlign w:val="top"/>
          </w:tcPr>
          <w:p>
            <w:pPr>
              <w:pStyle w:val="18"/>
              <w:spacing w:before="96" w:line="163" w:lineRule="auto"/>
              <w:ind w:left="387"/>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07" w:type="dxa"/>
            <w:vMerge w:val="continue"/>
            <w:tcBorders>
              <w:top w:val="nil"/>
              <w:left w:val="single" w:color="000000" w:sz="2" w:space="0"/>
            </w:tcBorders>
            <w:vAlign w:val="top"/>
          </w:tcPr>
          <w:p>
            <w:pPr>
              <w:rPr>
                <w:rFonts w:ascii="Arial"/>
                <w:sz w:val="21"/>
              </w:rPr>
            </w:pPr>
          </w:p>
        </w:tc>
        <w:tc>
          <w:tcPr>
            <w:tcW w:w="1155" w:type="dxa"/>
            <w:vMerge w:val="continue"/>
            <w:tcBorders>
              <w:top w:val="nil"/>
            </w:tcBorders>
            <w:vAlign w:val="top"/>
          </w:tcPr>
          <w:p>
            <w:pPr>
              <w:rPr>
                <w:rFonts w:ascii="Arial"/>
                <w:sz w:val="21"/>
              </w:rPr>
            </w:pPr>
          </w:p>
        </w:tc>
        <w:tc>
          <w:tcPr>
            <w:tcW w:w="3120" w:type="dxa"/>
            <w:vMerge w:val="continue"/>
            <w:tcBorders>
              <w:top w:val="nil"/>
            </w:tcBorders>
            <w:vAlign w:val="top"/>
          </w:tcPr>
          <w:p>
            <w:pPr>
              <w:rPr>
                <w:rFonts w:ascii="Arial"/>
                <w:sz w:val="21"/>
              </w:rPr>
            </w:pPr>
          </w:p>
        </w:tc>
        <w:tc>
          <w:tcPr>
            <w:tcW w:w="2745" w:type="dxa"/>
            <w:vAlign w:val="top"/>
          </w:tcPr>
          <w:p>
            <w:pPr>
              <w:pStyle w:val="18"/>
              <w:spacing w:before="99" w:line="163" w:lineRule="auto"/>
              <w:ind w:left="418"/>
            </w:pPr>
            <w:r>
              <w:rPr>
                <w:spacing w:val="-3"/>
              </w:rPr>
              <w:t>DN125</w:t>
            </w:r>
          </w:p>
        </w:tc>
        <w:tc>
          <w:tcPr>
            <w:tcW w:w="1485" w:type="dxa"/>
            <w:vAlign w:val="top"/>
          </w:tcPr>
          <w:p>
            <w:pPr>
              <w:pStyle w:val="18"/>
              <w:spacing w:before="99" w:line="163" w:lineRule="auto"/>
              <w:ind w:left="387"/>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007" w:type="dxa"/>
            <w:tcBorders>
              <w:left w:val="single" w:color="000000" w:sz="2" w:space="0"/>
              <w:bottom w:val="single" w:color="000000" w:sz="2" w:space="0"/>
            </w:tcBorders>
            <w:vAlign w:val="top"/>
          </w:tcPr>
          <w:p>
            <w:pPr>
              <w:pStyle w:val="18"/>
              <w:spacing w:before="96" w:line="187" w:lineRule="exact"/>
              <w:ind w:left="263"/>
            </w:pPr>
            <w:r>
              <w:rPr>
                <w:spacing w:val="-5"/>
                <w:position w:val="-1"/>
              </w:rPr>
              <w:t>15</w:t>
            </w:r>
          </w:p>
        </w:tc>
        <w:tc>
          <w:tcPr>
            <w:tcW w:w="1155" w:type="dxa"/>
            <w:tcBorders>
              <w:bottom w:val="single" w:color="000000" w:sz="2" w:space="0"/>
            </w:tcBorders>
            <w:vAlign w:val="top"/>
          </w:tcPr>
          <w:p>
            <w:pPr>
              <w:pStyle w:val="18"/>
              <w:spacing w:before="99" w:line="184" w:lineRule="exact"/>
              <w:ind w:left="331"/>
            </w:pPr>
            <w:r>
              <w:rPr>
                <w:spacing w:val="-5"/>
                <w:position w:val="-1"/>
              </w:rPr>
              <w:t>5F</w:t>
            </w:r>
          </w:p>
        </w:tc>
        <w:tc>
          <w:tcPr>
            <w:tcW w:w="3120" w:type="dxa"/>
            <w:tcBorders>
              <w:bottom w:val="single" w:color="000000" w:sz="2" w:space="0"/>
            </w:tcBorders>
            <w:vAlign w:val="top"/>
          </w:tcPr>
          <w:p>
            <w:pPr>
              <w:pStyle w:val="18"/>
              <w:spacing w:before="89" w:line="194" w:lineRule="exact"/>
              <w:ind w:left="351"/>
            </w:pPr>
            <w:r>
              <w:rPr>
                <w:spacing w:val="-2"/>
              </w:rPr>
              <w:t>中线对夹手柄蝶阀</w:t>
            </w:r>
          </w:p>
        </w:tc>
        <w:tc>
          <w:tcPr>
            <w:tcW w:w="2745" w:type="dxa"/>
            <w:tcBorders>
              <w:bottom w:val="single" w:color="000000" w:sz="2" w:space="0"/>
            </w:tcBorders>
            <w:vAlign w:val="top"/>
          </w:tcPr>
          <w:p>
            <w:pPr>
              <w:pStyle w:val="18"/>
              <w:spacing w:before="97" w:line="186" w:lineRule="exact"/>
              <w:ind w:left="471"/>
            </w:pPr>
            <w:r>
              <w:rPr>
                <w:spacing w:val="-4"/>
                <w:position w:val="-1"/>
              </w:rPr>
              <w:t>DN80</w:t>
            </w:r>
          </w:p>
        </w:tc>
        <w:tc>
          <w:tcPr>
            <w:tcW w:w="1485" w:type="dxa"/>
            <w:tcBorders>
              <w:bottom w:val="single" w:color="000000" w:sz="2" w:space="0"/>
            </w:tcBorders>
            <w:vAlign w:val="top"/>
          </w:tcPr>
          <w:p>
            <w:pPr>
              <w:pStyle w:val="18"/>
              <w:spacing w:before="96" w:line="187" w:lineRule="exact"/>
              <w:ind w:left="387"/>
            </w:pPr>
            <w:r>
              <w:rPr>
                <w:position w:val="-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 w:hRule="atLeast"/>
        </w:trPr>
        <w:tc>
          <w:tcPr>
            <w:tcW w:w="1007" w:type="dxa"/>
            <w:tcBorders>
              <w:top w:val="single" w:color="000000" w:sz="2" w:space="0"/>
              <w:left w:val="nil"/>
              <w:bottom w:val="nil"/>
              <w:right w:val="nil"/>
            </w:tcBorders>
            <w:vAlign w:val="top"/>
          </w:tcPr>
          <w:p>
            <w:pPr>
              <w:spacing w:line="15" w:lineRule="exact"/>
              <w:rPr>
                <w:rFonts w:ascii="Arial"/>
                <w:sz w:val="2"/>
              </w:rPr>
            </w:pPr>
          </w:p>
        </w:tc>
        <w:tc>
          <w:tcPr>
            <w:tcW w:w="1155" w:type="dxa"/>
            <w:tcBorders>
              <w:top w:val="single" w:color="000000" w:sz="2" w:space="0"/>
              <w:left w:val="nil"/>
              <w:bottom w:val="nil"/>
              <w:right w:val="nil"/>
            </w:tcBorders>
            <w:vAlign w:val="top"/>
          </w:tcPr>
          <w:p>
            <w:pPr>
              <w:spacing w:line="15" w:lineRule="exact"/>
              <w:rPr>
                <w:rFonts w:ascii="Arial"/>
                <w:sz w:val="2"/>
              </w:rPr>
            </w:pPr>
          </w:p>
        </w:tc>
        <w:tc>
          <w:tcPr>
            <w:tcW w:w="3120" w:type="dxa"/>
            <w:tcBorders>
              <w:top w:val="single" w:color="000000" w:sz="2" w:space="0"/>
              <w:left w:val="nil"/>
              <w:bottom w:val="nil"/>
              <w:right w:val="nil"/>
            </w:tcBorders>
            <w:vAlign w:val="top"/>
          </w:tcPr>
          <w:p>
            <w:pPr>
              <w:spacing w:line="15" w:lineRule="exact"/>
              <w:rPr>
                <w:rFonts w:ascii="Arial"/>
                <w:sz w:val="2"/>
              </w:rPr>
            </w:pPr>
          </w:p>
        </w:tc>
        <w:tc>
          <w:tcPr>
            <w:tcW w:w="2745" w:type="dxa"/>
            <w:tcBorders>
              <w:top w:val="single" w:color="000000" w:sz="2" w:space="0"/>
              <w:left w:val="nil"/>
              <w:bottom w:val="nil"/>
              <w:right w:val="nil"/>
            </w:tcBorders>
            <w:vAlign w:val="top"/>
          </w:tcPr>
          <w:p>
            <w:pPr>
              <w:spacing w:line="15" w:lineRule="exact"/>
              <w:rPr>
                <w:rFonts w:ascii="Arial"/>
                <w:sz w:val="2"/>
              </w:rPr>
            </w:pPr>
          </w:p>
        </w:tc>
        <w:tc>
          <w:tcPr>
            <w:tcW w:w="1485" w:type="dxa"/>
            <w:tcBorders>
              <w:top w:val="single" w:color="000000" w:sz="2" w:space="0"/>
              <w:left w:val="nil"/>
              <w:bottom w:val="nil"/>
              <w:right w:val="nil"/>
            </w:tcBorders>
            <w:vAlign w:val="top"/>
          </w:tcPr>
          <w:p>
            <w:pPr>
              <w:spacing w:line="15" w:lineRule="exact"/>
              <w:rPr>
                <w:rFonts w:ascii="Arial"/>
                <w:sz w:val="2"/>
              </w:rPr>
            </w:pPr>
          </w:p>
        </w:tc>
      </w:tr>
    </w:tbl>
    <w:p>
      <w:pPr>
        <w:spacing w:line="132" w:lineRule="exact"/>
        <w:rPr>
          <w:rFonts w:ascii="Arial"/>
          <w:sz w:val="11"/>
        </w:rPr>
      </w:pPr>
    </w:p>
    <w:p>
      <w:pPr>
        <w:spacing w:line="132" w:lineRule="exact"/>
        <w:rPr>
          <w:rFonts w:ascii="Arial" w:hAnsi="Arial" w:eastAsia="Arial" w:cs="Arial"/>
          <w:sz w:val="11"/>
          <w:szCs w:val="11"/>
        </w:rPr>
        <w:sectPr>
          <w:footerReference r:id="rId5" w:type="default"/>
          <w:pgSz w:w="11907" w:h="16839"/>
          <w:pgMar w:top="1431" w:right="1195" w:bottom="1024" w:left="1135" w:header="0" w:footer="776" w:gutter="0"/>
          <w:cols w:space="720" w:num="1"/>
        </w:sectPr>
      </w:pPr>
    </w:p>
    <w:tbl>
      <w:tblPr>
        <w:tblStyle w:val="19"/>
        <w:tblW w:w="9497" w:type="dxa"/>
        <w:tblInd w:w="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851"/>
        <w:gridCol w:w="3753"/>
        <w:gridCol w:w="2730"/>
        <w:gridCol w:w="1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08" w:type="dxa"/>
            <w:tcBorders>
              <w:top w:val="single" w:color="000000" w:sz="2" w:space="0"/>
              <w:left w:val="single" w:color="000000" w:sz="2" w:space="0"/>
            </w:tcBorders>
            <w:vAlign w:val="top"/>
          </w:tcPr>
          <w:p>
            <w:pPr>
              <w:rPr>
                <w:rFonts w:ascii="Arial"/>
                <w:sz w:val="21"/>
              </w:rPr>
            </w:pPr>
          </w:p>
        </w:tc>
        <w:tc>
          <w:tcPr>
            <w:tcW w:w="851" w:type="dxa"/>
            <w:tcBorders>
              <w:top w:val="single" w:color="000000" w:sz="2" w:space="0"/>
            </w:tcBorders>
            <w:vAlign w:val="top"/>
          </w:tcPr>
          <w:p>
            <w:pPr>
              <w:rPr>
                <w:rFonts w:ascii="Arial"/>
                <w:sz w:val="21"/>
              </w:rPr>
            </w:pPr>
          </w:p>
        </w:tc>
        <w:tc>
          <w:tcPr>
            <w:tcW w:w="3753" w:type="dxa"/>
            <w:tcBorders>
              <w:top w:val="single" w:color="000000" w:sz="2" w:space="0"/>
            </w:tcBorders>
            <w:vAlign w:val="top"/>
          </w:tcPr>
          <w:p>
            <w:pPr>
              <w:rPr>
                <w:rFonts w:ascii="Arial"/>
                <w:sz w:val="21"/>
              </w:rPr>
            </w:pPr>
          </w:p>
        </w:tc>
        <w:tc>
          <w:tcPr>
            <w:tcW w:w="2730" w:type="dxa"/>
            <w:tcBorders>
              <w:top w:val="single" w:color="000000" w:sz="2" w:space="0"/>
            </w:tcBorders>
            <w:vAlign w:val="top"/>
          </w:tcPr>
          <w:p>
            <w:pPr>
              <w:pStyle w:val="18"/>
              <w:spacing w:before="96" w:line="170" w:lineRule="auto"/>
              <w:ind w:left="471"/>
            </w:pPr>
            <w:r>
              <w:rPr>
                <w:spacing w:val="-4"/>
              </w:rPr>
              <w:t>DN80</w:t>
            </w:r>
          </w:p>
        </w:tc>
        <w:tc>
          <w:tcPr>
            <w:tcW w:w="1455" w:type="dxa"/>
            <w:tcBorders>
              <w:top w:val="single" w:color="000000" w:sz="2" w:space="0"/>
            </w:tcBorders>
            <w:vAlign w:val="top"/>
          </w:tcPr>
          <w:p>
            <w:pPr>
              <w:pStyle w:val="18"/>
              <w:spacing w:before="96" w:line="170" w:lineRule="auto"/>
              <w:ind w:left="387"/>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708" w:type="dxa"/>
            <w:vMerge w:val="restart"/>
            <w:tcBorders>
              <w:left w:val="single" w:color="000000" w:sz="2" w:space="0"/>
              <w:bottom w:val="nil"/>
            </w:tcBorders>
            <w:vAlign w:val="top"/>
          </w:tcPr>
          <w:p>
            <w:pPr>
              <w:pStyle w:val="18"/>
              <w:spacing w:before="251" w:line="172" w:lineRule="auto"/>
              <w:ind w:left="263"/>
            </w:pPr>
            <w:r>
              <w:rPr>
                <w:spacing w:val="-5"/>
              </w:rPr>
              <w:t>16</w:t>
            </w:r>
          </w:p>
        </w:tc>
        <w:tc>
          <w:tcPr>
            <w:tcW w:w="851" w:type="dxa"/>
            <w:vMerge w:val="restart"/>
            <w:tcBorders>
              <w:bottom w:val="nil"/>
            </w:tcBorders>
            <w:vAlign w:val="top"/>
          </w:tcPr>
          <w:p>
            <w:pPr>
              <w:pStyle w:val="18"/>
              <w:spacing w:before="251" w:line="172" w:lineRule="auto"/>
              <w:ind w:left="326"/>
            </w:pPr>
            <w:r>
              <w:rPr>
                <w:spacing w:val="-3"/>
              </w:rPr>
              <w:t>2F</w:t>
            </w:r>
          </w:p>
        </w:tc>
        <w:tc>
          <w:tcPr>
            <w:tcW w:w="3753" w:type="dxa"/>
            <w:vMerge w:val="restart"/>
            <w:tcBorders>
              <w:bottom w:val="nil"/>
            </w:tcBorders>
            <w:vAlign w:val="top"/>
          </w:tcPr>
          <w:p>
            <w:pPr>
              <w:pStyle w:val="18"/>
              <w:spacing w:before="244" w:line="194" w:lineRule="auto"/>
              <w:ind w:left="351"/>
            </w:pPr>
            <w:r>
              <w:rPr>
                <w:spacing w:val="-2"/>
              </w:rPr>
              <w:t>中线对夹手柄蝶阀</w:t>
            </w:r>
          </w:p>
        </w:tc>
        <w:tc>
          <w:tcPr>
            <w:tcW w:w="2730" w:type="dxa"/>
            <w:vAlign w:val="top"/>
          </w:tcPr>
          <w:p>
            <w:pPr>
              <w:pStyle w:val="18"/>
              <w:spacing w:before="87" w:line="170" w:lineRule="auto"/>
              <w:ind w:left="418"/>
            </w:pPr>
            <w:r>
              <w:rPr>
                <w:spacing w:val="-3"/>
              </w:rPr>
              <w:t>DN125</w:t>
            </w:r>
          </w:p>
        </w:tc>
        <w:tc>
          <w:tcPr>
            <w:tcW w:w="1455" w:type="dxa"/>
            <w:vAlign w:val="top"/>
          </w:tcPr>
          <w:p>
            <w:pPr>
              <w:pStyle w:val="18"/>
              <w:spacing w:before="87" w:line="170" w:lineRule="auto"/>
              <w:ind w:left="387"/>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708" w:type="dxa"/>
            <w:vMerge w:val="continue"/>
            <w:tcBorders>
              <w:top w:val="nil"/>
              <w:left w:val="single" w:color="000000" w:sz="2" w:space="0"/>
            </w:tcBorders>
            <w:vAlign w:val="top"/>
          </w:tcPr>
          <w:p>
            <w:pPr>
              <w:rPr>
                <w:rFonts w:ascii="Arial"/>
                <w:sz w:val="21"/>
              </w:rPr>
            </w:pPr>
          </w:p>
        </w:tc>
        <w:tc>
          <w:tcPr>
            <w:tcW w:w="851" w:type="dxa"/>
            <w:vMerge w:val="continue"/>
            <w:tcBorders>
              <w:top w:val="nil"/>
            </w:tcBorders>
            <w:vAlign w:val="top"/>
          </w:tcPr>
          <w:p>
            <w:pPr>
              <w:rPr>
                <w:rFonts w:ascii="Arial"/>
                <w:sz w:val="21"/>
              </w:rPr>
            </w:pPr>
          </w:p>
        </w:tc>
        <w:tc>
          <w:tcPr>
            <w:tcW w:w="3753" w:type="dxa"/>
            <w:vMerge w:val="continue"/>
            <w:tcBorders>
              <w:top w:val="nil"/>
            </w:tcBorders>
            <w:vAlign w:val="top"/>
          </w:tcPr>
          <w:p>
            <w:pPr>
              <w:rPr>
                <w:rFonts w:ascii="Arial"/>
                <w:sz w:val="21"/>
              </w:rPr>
            </w:pPr>
          </w:p>
        </w:tc>
        <w:tc>
          <w:tcPr>
            <w:tcW w:w="2730" w:type="dxa"/>
            <w:vAlign w:val="top"/>
          </w:tcPr>
          <w:p>
            <w:pPr>
              <w:pStyle w:val="18"/>
              <w:spacing w:before="87" w:line="169" w:lineRule="auto"/>
              <w:ind w:left="418"/>
            </w:pPr>
            <w:r>
              <w:rPr>
                <w:spacing w:val="-3"/>
              </w:rPr>
              <w:t>DN125</w:t>
            </w:r>
          </w:p>
        </w:tc>
        <w:tc>
          <w:tcPr>
            <w:tcW w:w="1455" w:type="dxa"/>
            <w:vAlign w:val="top"/>
          </w:tcPr>
          <w:p>
            <w:pPr>
              <w:pStyle w:val="18"/>
              <w:spacing w:before="87" w:line="169" w:lineRule="auto"/>
              <w:ind w:left="387"/>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708" w:type="dxa"/>
            <w:vMerge w:val="restart"/>
            <w:tcBorders>
              <w:left w:val="single" w:color="000000" w:sz="2" w:space="0"/>
              <w:bottom w:val="nil"/>
            </w:tcBorders>
            <w:vAlign w:val="top"/>
          </w:tcPr>
          <w:p>
            <w:pPr>
              <w:pStyle w:val="18"/>
              <w:spacing w:before="255" w:line="172" w:lineRule="auto"/>
              <w:ind w:left="263"/>
            </w:pPr>
            <w:r>
              <w:rPr>
                <w:spacing w:val="-5"/>
              </w:rPr>
              <w:t>17</w:t>
            </w:r>
          </w:p>
        </w:tc>
        <w:tc>
          <w:tcPr>
            <w:tcW w:w="851" w:type="dxa"/>
            <w:vMerge w:val="restart"/>
            <w:tcBorders>
              <w:bottom w:val="nil"/>
            </w:tcBorders>
            <w:vAlign w:val="top"/>
          </w:tcPr>
          <w:p>
            <w:pPr>
              <w:pStyle w:val="18"/>
              <w:spacing w:before="255" w:line="172" w:lineRule="auto"/>
              <w:ind w:left="335"/>
            </w:pPr>
            <w:r>
              <w:rPr>
                <w:spacing w:val="-5"/>
              </w:rPr>
              <w:t>1F</w:t>
            </w:r>
          </w:p>
        </w:tc>
        <w:tc>
          <w:tcPr>
            <w:tcW w:w="3753" w:type="dxa"/>
            <w:vMerge w:val="restart"/>
            <w:tcBorders>
              <w:bottom w:val="nil"/>
            </w:tcBorders>
            <w:vAlign w:val="top"/>
          </w:tcPr>
          <w:p>
            <w:pPr>
              <w:pStyle w:val="18"/>
              <w:spacing w:before="248" w:line="194" w:lineRule="auto"/>
              <w:ind w:left="351"/>
            </w:pPr>
            <w:r>
              <w:rPr>
                <w:spacing w:val="-2"/>
              </w:rPr>
              <w:t>中线对夹手柄蝶阀</w:t>
            </w:r>
          </w:p>
        </w:tc>
        <w:tc>
          <w:tcPr>
            <w:tcW w:w="2730" w:type="dxa"/>
            <w:vAlign w:val="top"/>
          </w:tcPr>
          <w:p>
            <w:pPr>
              <w:pStyle w:val="18"/>
              <w:spacing w:before="90" w:line="167" w:lineRule="auto"/>
              <w:ind w:left="471"/>
            </w:pPr>
            <w:r>
              <w:rPr>
                <w:spacing w:val="-4"/>
              </w:rPr>
              <w:t>DN80</w:t>
            </w:r>
          </w:p>
        </w:tc>
        <w:tc>
          <w:tcPr>
            <w:tcW w:w="1455" w:type="dxa"/>
            <w:vAlign w:val="top"/>
          </w:tcPr>
          <w:p>
            <w:pPr>
              <w:pStyle w:val="18"/>
              <w:spacing w:before="88" w:line="168" w:lineRule="auto"/>
              <w:ind w:left="387"/>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08" w:type="dxa"/>
            <w:vMerge w:val="continue"/>
            <w:tcBorders>
              <w:top w:val="nil"/>
              <w:left w:val="single" w:color="000000" w:sz="2" w:space="0"/>
            </w:tcBorders>
            <w:vAlign w:val="top"/>
          </w:tcPr>
          <w:p>
            <w:pPr>
              <w:rPr>
                <w:rFonts w:ascii="Arial"/>
                <w:sz w:val="21"/>
              </w:rPr>
            </w:pPr>
          </w:p>
        </w:tc>
        <w:tc>
          <w:tcPr>
            <w:tcW w:w="851" w:type="dxa"/>
            <w:vMerge w:val="continue"/>
            <w:tcBorders>
              <w:top w:val="nil"/>
            </w:tcBorders>
            <w:vAlign w:val="top"/>
          </w:tcPr>
          <w:p>
            <w:pPr>
              <w:rPr>
                <w:rFonts w:ascii="Arial"/>
                <w:sz w:val="21"/>
              </w:rPr>
            </w:pPr>
          </w:p>
        </w:tc>
        <w:tc>
          <w:tcPr>
            <w:tcW w:w="3753" w:type="dxa"/>
            <w:vMerge w:val="continue"/>
            <w:tcBorders>
              <w:top w:val="nil"/>
            </w:tcBorders>
            <w:vAlign w:val="top"/>
          </w:tcPr>
          <w:p>
            <w:pPr>
              <w:rPr>
                <w:rFonts w:ascii="Arial"/>
                <w:sz w:val="21"/>
              </w:rPr>
            </w:pPr>
          </w:p>
        </w:tc>
        <w:tc>
          <w:tcPr>
            <w:tcW w:w="2730" w:type="dxa"/>
            <w:vAlign w:val="top"/>
          </w:tcPr>
          <w:p>
            <w:pPr>
              <w:pStyle w:val="18"/>
              <w:spacing w:before="94" w:line="166" w:lineRule="auto"/>
              <w:ind w:left="471"/>
            </w:pPr>
            <w:r>
              <w:rPr>
                <w:spacing w:val="-4"/>
              </w:rPr>
              <w:t>DN80</w:t>
            </w:r>
          </w:p>
        </w:tc>
        <w:tc>
          <w:tcPr>
            <w:tcW w:w="1455" w:type="dxa"/>
            <w:vAlign w:val="top"/>
          </w:tcPr>
          <w:p>
            <w:pPr>
              <w:pStyle w:val="18"/>
              <w:spacing w:before="93" w:line="167" w:lineRule="auto"/>
              <w:ind w:left="387"/>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708" w:type="dxa"/>
            <w:tcBorders>
              <w:left w:val="single" w:color="000000" w:sz="2" w:space="0"/>
            </w:tcBorders>
            <w:vAlign w:val="top"/>
          </w:tcPr>
          <w:p>
            <w:pPr>
              <w:pStyle w:val="18"/>
              <w:spacing w:before="211" w:line="172" w:lineRule="auto"/>
              <w:ind w:left="263"/>
            </w:pPr>
            <w:r>
              <w:rPr>
                <w:spacing w:val="-5"/>
              </w:rPr>
              <w:t>19</w:t>
            </w:r>
          </w:p>
        </w:tc>
        <w:tc>
          <w:tcPr>
            <w:tcW w:w="4604" w:type="dxa"/>
            <w:gridSpan w:val="2"/>
            <w:vAlign w:val="top"/>
          </w:tcPr>
          <w:p>
            <w:pPr>
              <w:pStyle w:val="18"/>
              <w:spacing w:before="204" w:line="194" w:lineRule="auto"/>
              <w:ind w:left="1302"/>
            </w:pPr>
            <w:r>
              <w:rPr>
                <w:b/>
                <w:bCs/>
                <w:spacing w:val="-1"/>
              </w:rPr>
              <w:t>合计</w:t>
            </w:r>
          </w:p>
        </w:tc>
        <w:tc>
          <w:tcPr>
            <w:tcW w:w="4185" w:type="dxa"/>
            <w:gridSpan w:val="2"/>
            <w:vAlign w:val="top"/>
          </w:tcPr>
          <w:p>
            <w:pPr>
              <w:rPr>
                <w:rFonts w:ascii="Arial"/>
                <w:sz w:val="21"/>
              </w:rPr>
            </w:pPr>
          </w:p>
        </w:tc>
      </w:tr>
    </w:tbl>
    <w:p>
      <w:pPr>
        <w:pStyle w:val="7"/>
        <w:spacing w:before="226" w:line="196" w:lineRule="auto"/>
        <w:ind w:left="180"/>
      </w:pPr>
      <w:r>
        <w:rPr>
          <w:b/>
          <w:bCs/>
          <w:spacing w:val="-8"/>
        </w:rPr>
        <w:t>备注：</w:t>
      </w:r>
    </w:p>
    <w:p>
      <w:pPr>
        <w:pStyle w:val="7"/>
        <w:spacing w:before="329" w:line="625" w:lineRule="exact"/>
        <w:ind w:left="199"/>
      </w:pPr>
      <w:r>
        <w:rPr>
          <w:spacing w:val="-2"/>
          <w:position w:val="31"/>
        </w:rPr>
        <w:t>1、阀门更换综合报价包括旧阀门的拆除、新阀门</w:t>
      </w:r>
      <w:r>
        <w:rPr>
          <w:spacing w:val="-3"/>
          <w:position w:val="31"/>
        </w:rPr>
        <w:t>采购及安装、</w:t>
      </w:r>
      <w:r>
        <w:rPr>
          <w:spacing w:val="23"/>
          <w:w w:val="101"/>
          <w:position w:val="31"/>
        </w:rPr>
        <w:t xml:space="preserve"> </w:t>
      </w:r>
      <w:r>
        <w:rPr>
          <w:spacing w:val="-3"/>
          <w:position w:val="31"/>
        </w:rPr>
        <w:t>阀门固定螺栓的更换、辅料等</w:t>
      </w:r>
    </w:p>
    <w:p>
      <w:pPr>
        <w:pStyle w:val="7"/>
        <w:spacing w:line="194" w:lineRule="auto"/>
        <w:ind w:left="190"/>
      </w:pPr>
      <w:r>
        <w:rPr>
          <w:spacing w:val="-1"/>
        </w:rPr>
        <w:t>2、阀门综合报价包括保温的拆除，阀门及管道保温的修复</w:t>
      </w:r>
    </w:p>
    <w:p>
      <w:pPr>
        <w:rPr>
          <w:rFonts w:ascii="Arial"/>
          <w:sz w:val="21"/>
        </w:rPr>
      </w:pPr>
    </w:p>
    <w:p>
      <w:pPr>
        <w:pStyle w:val="7"/>
        <w:spacing w:before="90" w:line="624" w:lineRule="exact"/>
        <w:ind w:left="192"/>
      </w:pPr>
      <w:r>
        <w:rPr>
          <w:spacing w:val="-3"/>
          <w:position w:val="31"/>
        </w:rPr>
        <w:t>3、阀门更换综合报价包括法兰盘表面除锈、润滑，</w:t>
      </w:r>
      <w:r>
        <w:rPr>
          <w:spacing w:val="27"/>
          <w:position w:val="31"/>
        </w:rPr>
        <w:t xml:space="preserve"> </w:t>
      </w:r>
      <w:r>
        <w:rPr>
          <w:spacing w:val="-3"/>
          <w:position w:val="31"/>
        </w:rPr>
        <w:t>或者部分法兰盘的更换</w:t>
      </w:r>
    </w:p>
    <w:p>
      <w:pPr>
        <w:pStyle w:val="7"/>
        <w:spacing w:before="1" w:line="194" w:lineRule="auto"/>
        <w:ind w:left="179"/>
      </w:pPr>
      <w:r>
        <w:t>4、阀门更换综合报价包括高空作业、夜间加班作业、安全文明施工费</w:t>
      </w:r>
    </w:p>
    <w:p>
      <w:pPr>
        <w:rPr>
          <w:rFonts w:ascii="Arial"/>
          <w:sz w:val="21"/>
        </w:rPr>
      </w:pPr>
    </w:p>
    <w:p>
      <w:pPr>
        <w:pStyle w:val="7"/>
        <w:spacing w:before="90" w:line="624" w:lineRule="exact"/>
        <w:ind w:left="195"/>
      </w:pPr>
      <w:r>
        <w:rPr>
          <w:position w:val="31"/>
        </w:rPr>
        <w:t>5、阀门更换综合报价包括吊顶和龙骨拆除</w:t>
      </w:r>
      <w:r>
        <w:rPr>
          <w:spacing w:val="-1"/>
          <w:position w:val="31"/>
        </w:rPr>
        <w:t>，以及破损的吊顶、龙骨的更换</w:t>
      </w:r>
    </w:p>
    <w:p>
      <w:pPr>
        <w:pStyle w:val="7"/>
        <w:spacing w:before="332" w:line="624" w:lineRule="exact"/>
        <w:ind w:left="189"/>
        <w:rPr>
          <w:rFonts w:ascii="Arial"/>
          <w:sz w:val="21"/>
        </w:rPr>
      </w:pPr>
      <w:r>
        <w:rPr>
          <w:rFonts w:hint="eastAsia"/>
          <w:spacing w:val="-1"/>
          <w:position w:val="31"/>
          <w:lang w:val="en-US" w:eastAsia="zh-CN"/>
        </w:rPr>
        <w:t>6</w:t>
      </w:r>
      <w:r>
        <w:rPr>
          <w:spacing w:val="-1"/>
          <w:position w:val="31"/>
        </w:rPr>
        <w:t>、阀门更换质保期一年</w:t>
      </w:r>
      <w:bookmarkStart w:id="1" w:name="_GoBack"/>
      <w:bookmarkEnd w:id="1"/>
    </w:p>
    <w:p>
      <w:pPr>
        <w:pStyle w:val="7"/>
      </w:pPr>
    </w:p>
    <w:p>
      <w:pPr>
        <w:pStyle w:val="7"/>
        <w:ind w:firstLine="420"/>
      </w:pPr>
    </w:p>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83981AC-697D-49A0-A2F8-698B2850C743}"/>
  </w:font>
  <w:font w:name="黑体">
    <w:panose1 w:val="02010609060101010101"/>
    <w:charset w:val="86"/>
    <w:family w:val="auto"/>
    <w:pitch w:val="default"/>
    <w:sig w:usb0="800002BF" w:usb1="38CF7CFA" w:usb2="00000016" w:usb3="00000000" w:csb0="00040001" w:csb1="00000000"/>
    <w:embedRegular r:id="rId2" w:fontKey="{4578B682-AD68-46C7-9414-59CC647351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embedRegular r:id="rId3" w:fontKey="{4F051912-193F-407B-9E87-08C2E7CCFD21}"/>
  </w:font>
  <w:font w:name="仿宋">
    <w:panose1 w:val="02010609060101010101"/>
    <w:charset w:val="86"/>
    <w:family w:val="auto"/>
    <w:pitch w:val="default"/>
    <w:sig w:usb0="800002BF" w:usb1="38CF7CFA" w:usb2="00000016" w:usb3="00000000" w:csb0="00040001" w:csb1="00000000"/>
    <w:embedRegular r:id="rId4" w:fontKey="{280862AA-7ADD-4FF5-80A2-0D1B7D1BB5C4}"/>
  </w:font>
  <w:font w:name="等线">
    <w:panose1 w:val="02010600030101010101"/>
    <w:charset w:val="86"/>
    <w:family w:val="auto"/>
    <w:pitch w:val="default"/>
    <w:sig w:usb0="A00002BF" w:usb1="38CF7CFA" w:usb2="00000016" w:usb3="00000000" w:csb0="0004000F" w:csb1="00000000"/>
    <w:embedRegular r:id="rId5" w:fontKey="{4DDEE3C7-68F7-4BD3-861F-DB18913F9A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4" w:lineRule="auto"/>
      <w:ind w:left="4652"/>
      <w:rPr>
        <w:rFonts w:ascii="等线" w:hAnsi="等线" w:eastAsia="等线" w:cs="等线"/>
        <w:sz w:val="18"/>
        <w:szCs w:val="18"/>
      </w:rPr>
    </w:pPr>
    <w:r>
      <w:rPr>
        <w:rFonts w:ascii="等线" w:hAnsi="等线" w:eastAsia="等线" w:cs="等线"/>
        <w:b/>
        <w:bCs/>
        <w:spacing w:val="-4"/>
        <w:sz w:val="18"/>
        <w:szCs w:val="18"/>
      </w:rPr>
      <w:t>1</w:t>
    </w:r>
    <w:r>
      <w:rPr>
        <w:rFonts w:ascii="等线" w:hAnsi="等线" w:eastAsia="等线" w:cs="等线"/>
        <w:b/>
        <w:bCs/>
        <w:spacing w:val="45"/>
        <w:w w:val="101"/>
        <w:sz w:val="18"/>
        <w:szCs w:val="18"/>
      </w:rPr>
      <w:t xml:space="preserve"> </w:t>
    </w:r>
    <w:r>
      <w:rPr>
        <w:rFonts w:ascii="等线" w:hAnsi="等线" w:eastAsia="等线" w:cs="等线"/>
        <w:spacing w:val="-4"/>
        <w:sz w:val="18"/>
        <w:szCs w:val="18"/>
      </w:rPr>
      <w:t xml:space="preserve">/  </w:t>
    </w:r>
    <w:r>
      <w:rPr>
        <w:rFonts w:ascii="等线" w:hAnsi="等线" w:eastAsia="等线" w:cs="等线"/>
        <w:b/>
        <w:bCs/>
        <w:spacing w:val="-4"/>
        <w:sz w:val="18"/>
        <w:szCs w:val="18"/>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50221"/>
      <w:docPartObj>
        <w:docPartGallery w:val="autotext"/>
      </w:docPartObj>
    </w:sdtPr>
    <w:sdtContent>
      <w:p>
        <w:pPr>
          <w:pStyle w:val="8"/>
          <w:ind w:firstLine="360"/>
          <w:jc w:val="center"/>
        </w:pPr>
        <w:r>
          <w:fldChar w:fldCharType="begin"/>
        </w:r>
        <w:r>
          <w:instrText xml:space="preserve">PAGE   \* MERGEFORMAT</w:instrText>
        </w:r>
        <w:r>
          <w:fldChar w:fldCharType="separate"/>
        </w:r>
        <w:r>
          <w:rPr>
            <w:lang w:val="zh-CN"/>
          </w:rPr>
          <w:t>1</w:t>
        </w:r>
        <w:r>
          <w:fldChar w:fldCharType="end"/>
        </w:r>
      </w:p>
    </w:sdtContent>
  </w:sdt>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C794D2"/>
    <w:multiLevelType w:val="multilevel"/>
    <w:tmpl w:val="33C794D2"/>
    <w:lvl w:ilvl="0" w:tentative="0">
      <w:start w:val="1"/>
      <w:numFmt w:val="chineseCounting"/>
      <w:suff w:val="space"/>
      <w:lvlText w:val="%1、"/>
      <w:lvlJc w:val="left"/>
      <w:pPr>
        <w:tabs>
          <w:tab w:val="left" w:pos="420"/>
        </w:tabs>
        <w:ind w:left="0" w:firstLine="0"/>
      </w:pPr>
      <w:rPr>
        <w:rFonts w:hint="eastAsia"/>
      </w:rPr>
    </w:lvl>
    <w:lvl w:ilvl="1" w:tentative="0">
      <w:start w:val="1"/>
      <w:numFmt w:val="decimal"/>
      <w:pStyle w:val="3"/>
      <w:isLgl/>
      <w:suff w:val="space"/>
      <w:lvlText w:val="%1.%2"/>
      <w:lvlJc w:val="left"/>
      <w:pPr>
        <w:tabs>
          <w:tab w:val="left" w:pos="420"/>
        </w:tabs>
        <w:ind w:left="0" w:firstLine="0"/>
      </w:pPr>
      <w:rPr>
        <w:rFonts w:hint="eastAsia"/>
      </w:rPr>
    </w:lvl>
    <w:lvl w:ilvl="2" w:tentative="0">
      <w:start w:val="1"/>
      <w:numFmt w:val="decimal"/>
      <w:pStyle w:val="4"/>
      <w:isLgl/>
      <w:suff w:val="space"/>
      <w:lvlText w:val="%1.%2.%3"/>
      <w:lvlJc w:val="left"/>
      <w:pPr>
        <w:tabs>
          <w:tab w:val="left" w:pos="420"/>
        </w:tabs>
        <w:ind w:left="0" w:firstLine="0"/>
      </w:pPr>
      <w:rPr>
        <w:rFonts w:hint="eastAsia"/>
      </w:rPr>
    </w:lvl>
    <w:lvl w:ilvl="3" w:tentative="0">
      <w:start w:val="1"/>
      <w:numFmt w:val="decimal"/>
      <w:isLgl/>
      <w:suff w:val="space"/>
      <w:lvlText w:val="%1.%2.%3.%4"/>
      <w:lvlJc w:val="left"/>
      <w:pPr>
        <w:tabs>
          <w:tab w:val="left" w:pos="420"/>
        </w:tabs>
        <w:ind w:left="0" w:firstLine="0"/>
      </w:pPr>
      <w:rPr>
        <w:rFonts w:hint="eastAsia"/>
      </w:rPr>
    </w:lvl>
    <w:lvl w:ilvl="4" w:tentative="0">
      <w:start w:val="1"/>
      <w:numFmt w:val="decimal"/>
      <w:lvlText w:val="%1.%2.%3.%4.%5."/>
      <w:lvlJc w:val="left"/>
      <w:pPr>
        <w:ind w:left="2495" w:hanging="895"/>
      </w:pPr>
      <w:rPr>
        <w:rFonts w:hint="eastAsia"/>
      </w:rPr>
    </w:lvl>
    <w:lvl w:ilvl="5" w:tentative="0">
      <w:start w:val="1"/>
      <w:numFmt w:val="decimal"/>
      <w:lvlText w:val="%1.%2.%3.%4.%5.%6."/>
      <w:lvlJc w:val="left"/>
      <w:pPr>
        <w:ind w:left="3136" w:hanging="1136"/>
      </w:pPr>
      <w:rPr>
        <w:rFonts w:hint="eastAsia"/>
      </w:rPr>
    </w:lvl>
    <w:lvl w:ilvl="6" w:tentative="0">
      <w:start w:val="1"/>
      <w:numFmt w:val="decimal"/>
      <w:lvlText w:val="%1.%2.%3.%4.%5.%6.%7."/>
      <w:lvlJc w:val="left"/>
      <w:pPr>
        <w:ind w:left="3673" w:hanging="1273"/>
      </w:pPr>
      <w:rPr>
        <w:rFonts w:hint="eastAsia"/>
      </w:rPr>
    </w:lvl>
    <w:lvl w:ilvl="7" w:tentative="0">
      <w:start w:val="1"/>
      <w:numFmt w:val="decimal"/>
      <w:lvlText w:val="%1.%2.%3.%4.%5.%6.%7.%8."/>
      <w:lvlJc w:val="left"/>
      <w:pPr>
        <w:ind w:left="4218" w:hanging="1418"/>
      </w:pPr>
      <w:rPr>
        <w:rFonts w:hint="eastAsia"/>
      </w:rPr>
    </w:lvl>
    <w:lvl w:ilvl="8" w:tentative="0">
      <w:start w:val="1"/>
      <w:numFmt w:val="decimal"/>
      <w:lvlText w:val="%1.%2.%3.%4.%5.%6.%7.%8.%9."/>
      <w:lvlJc w:val="left"/>
      <w:pPr>
        <w:ind w:left="4648" w:hanging="1448"/>
      </w:pPr>
      <w:rPr>
        <w:rFonts w:hint="eastAsia"/>
      </w:rPr>
    </w:lvl>
  </w:abstractNum>
  <w:abstractNum w:abstractNumId="1">
    <w:nsid w:val="3AE4A817"/>
    <w:multiLevelType w:val="singleLevel"/>
    <w:tmpl w:val="3AE4A817"/>
    <w:lvl w:ilvl="0" w:tentative="0">
      <w:start w:val="1"/>
      <w:numFmt w:val="chineseCounting"/>
      <w:pStyle w:val="2"/>
      <w:suff w:val="nothing"/>
      <w:lvlText w:val="%1、"/>
      <w:lvlJc w:val="left"/>
      <w:pPr>
        <w:ind w:left="0" w:firstLine="420"/>
      </w:pPr>
      <w:rPr>
        <w:rFonts w:hint="eastAsia"/>
      </w:rPr>
    </w:lvl>
  </w:abstractNum>
  <w:abstractNum w:abstractNumId="2">
    <w:nsid w:val="687B7681"/>
    <w:multiLevelType w:val="multilevel"/>
    <w:tmpl w:val="687B7681"/>
    <w:lvl w:ilvl="0" w:tentative="0">
      <w:start w:val="1"/>
      <w:numFmt w:val="decimal"/>
      <w:suff w:val="space"/>
      <w:lvlText w:val="(%1)"/>
      <w:lvlJc w:val="left"/>
      <w:pPr>
        <w:ind w:left="840" w:hanging="420"/>
      </w:pPr>
      <w:rPr>
        <w:rFonts w:hint="default" w:ascii="宋体" w:hAnsi="宋体" w:eastAsia="宋体" w:cs="宋体"/>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ZDRmZDJkNzdmMGEwMTcwMmRmZDA2OWYwMDE4NmMifQ=="/>
  </w:docVars>
  <w:rsids>
    <w:rsidRoot w:val="5AF22A54"/>
    <w:rsid w:val="000460FD"/>
    <w:rsid w:val="00054EF3"/>
    <w:rsid w:val="00054F30"/>
    <w:rsid w:val="0008756F"/>
    <w:rsid w:val="000A4ABE"/>
    <w:rsid w:val="000D045B"/>
    <w:rsid w:val="00115A1D"/>
    <w:rsid w:val="001659CA"/>
    <w:rsid w:val="00190125"/>
    <w:rsid w:val="001B49AC"/>
    <w:rsid w:val="00222336"/>
    <w:rsid w:val="002A3F28"/>
    <w:rsid w:val="002B7865"/>
    <w:rsid w:val="00335AB2"/>
    <w:rsid w:val="00384D7E"/>
    <w:rsid w:val="003862AF"/>
    <w:rsid w:val="00414247"/>
    <w:rsid w:val="00440448"/>
    <w:rsid w:val="00490C3E"/>
    <w:rsid w:val="00532A8E"/>
    <w:rsid w:val="00545A07"/>
    <w:rsid w:val="0057144C"/>
    <w:rsid w:val="0058688B"/>
    <w:rsid w:val="0059517F"/>
    <w:rsid w:val="005A7E34"/>
    <w:rsid w:val="00603EF8"/>
    <w:rsid w:val="00617997"/>
    <w:rsid w:val="006F529F"/>
    <w:rsid w:val="0073636A"/>
    <w:rsid w:val="00741F6D"/>
    <w:rsid w:val="007A1521"/>
    <w:rsid w:val="00841B87"/>
    <w:rsid w:val="00870D7C"/>
    <w:rsid w:val="0087231A"/>
    <w:rsid w:val="00894743"/>
    <w:rsid w:val="00897EE5"/>
    <w:rsid w:val="008A5362"/>
    <w:rsid w:val="00911C39"/>
    <w:rsid w:val="00942B1E"/>
    <w:rsid w:val="009A6278"/>
    <w:rsid w:val="009E122E"/>
    <w:rsid w:val="009E5C07"/>
    <w:rsid w:val="00A009F8"/>
    <w:rsid w:val="00A234E3"/>
    <w:rsid w:val="00A34760"/>
    <w:rsid w:val="00A83731"/>
    <w:rsid w:val="00A90EBA"/>
    <w:rsid w:val="00B261D6"/>
    <w:rsid w:val="00B26AA8"/>
    <w:rsid w:val="00B5718F"/>
    <w:rsid w:val="00BB26C3"/>
    <w:rsid w:val="00BC0645"/>
    <w:rsid w:val="00BF659E"/>
    <w:rsid w:val="00C12436"/>
    <w:rsid w:val="00C23A51"/>
    <w:rsid w:val="00C60F47"/>
    <w:rsid w:val="00C71ADE"/>
    <w:rsid w:val="00C757C0"/>
    <w:rsid w:val="00D157EF"/>
    <w:rsid w:val="00D473C0"/>
    <w:rsid w:val="00DA2874"/>
    <w:rsid w:val="00E01B21"/>
    <w:rsid w:val="00E305A3"/>
    <w:rsid w:val="00E53ECF"/>
    <w:rsid w:val="00E76F13"/>
    <w:rsid w:val="00EA4C29"/>
    <w:rsid w:val="00F35881"/>
    <w:rsid w:val="00F41443"/>
    <w:rsid w:val="00F72292"/>
    <w:rsid w:val="00F738FE"/>
    <w:rsid w:val="0151460C"/>
    <w:rsid w:val="01D134FA"/>
    <w:rsid w:val="03156461"/>
    <w:rsid w:val="03AA4003"/>
    <w:rsid w:val="03F67248"/>
    <w:rsid w:val="04762137"/>
    <w:rsid w:val="05EA6938"/>
    <w:rsid w:val="073168B9"/>
    <w:rsid w:val="07CD02C0"/>
    <w:rsid w:val="085F360E"/>
    <w:rsid w:val="093466D2"/>
    <w:rsid w:val="0A7A2F16"/>
    <w:rsid w:val="0AAF7417"/>
    <w:rsid w:val="0BC639A4"/>
    <w:rsid w:val="0CC223BD"/>
    <w:rsid w:val="0CF307C8"/>
    <w:rsid w:val="0E24255C"/>
    <w:rsid w:val="0EBF408E"/>
    <w:rsid w:val="0EE02FCE"/>
    <w:rsid w:val="105B0B5E"/>
    <w:rsid w:val="108D2CE2"/>
    <w:rsid w:val="137B1518"/>
    <w:rsid w:val="13A42A2E"/>
    <w:rsid w:val="13E0137B"/>
    <w:rsid w:val="156C1118"/>
    <w:rsid w:val="16704CE3"/>
    <w:rsid w:val="16C734EC"/>
    <w:rsid w:val="16DE7DF3"/>
    <w:rsid w:val="180E4708"/>
    <w:rsid w:val="1AE23C2A"/>
    <w:rsid w:val="1B746F78"/>
    <w:rsid w:val="1DDE2DCF"/>
    <w:rsid w:val="1E107ADD"/>
    <w:rsid w:val="1ECE699F"/>
    <w:rsid w:val="1ED1023E"/>
    <w:rsid w:val="202F7912"/>
    <w:rsid w:val="24872B57"/>
    <w:rsid w:val="24E46F1D"/>
    <w:rsid w:val="256E4A38"/>
    <w:rsid w:val="26E52DF6"/>
    <w:rsid w:val="273B3040"/>
    <w:rsid w:val="27EB2370"/>
    <w:rsid w:val="28074CD0"/>
    <w:rsid w:val="28857132"/>
    <w:rsid w:val="28DA09B1"/>
    <w:rsid w:val="2A8D5961"/>
    <w:rsid w:val="2AE65071"/>
    <w:rsid w:val="2C333711"/>
    <w:rsid w:val="2C4877E8"/>
    <w:rsid w:val="2D2F2CFF"/>
    <w:rsid w:val="2EB01C1E"/>
    <w:rsid w:val="2FBB4D1E"/>
    <w:rsid w:val="313A7EC4"/>
    <w:rsid w:val="32B31868"/>
    <w:rsid w:val="33E800AC"/>
    <w:rsid w:val="35635C3C"/>
    <w:rsid w:val="3600792F"/>
    <w:rsid w:val="362D006F"/>
    <w:rsid w:val="36C070BE"/>
    <w:rsid w:val="37584FD9"/>
    <w:rsid w:val="37E1109A"/>
    <w:rsid w:val="38741F0E"/>
    <w:rsid w:val="38F35529"/>
    <w:rsid w:val="39537D75"/>
    <w:rsid w:val="3A5244D1"/>
    <w:rsid w:val="3A530348"/>
    <w:rsid w:val="3A5913BB"/>
    <w:rsid w:val="3B9F3746"/>
    <w:rsid w:val="3D2D2942"/>
    <w:rsid w:val="404E6944"/>
    <w:rsid w:val="42124F75"/>
    <w:rsid w:val="425F3C2F"/>
    <w:rsid w:val="42EF4FB3"/>
    <w:rsid w:val="43D30430"/>
    <w:rsid w:val="44103433"/>
    <w:rsid w:val="442C789E"/>
    <w:rsid w:val="44B55D88"/>
    <w:rsid w:val="45FE550D"/>
    <w:rsid w:val="46EB5A91"/>
    <w:rsid w:val="47D81BFD"/>
    <w:rsid w:val="499248EA"/>
    <w:rsid w:val="4A4C6847"/>
    <w:rsid w:val="4A7D10F6"/>
    <w:rsid w:val="4AFC7064"/>
    <w:rsid w:val="4C2061DD"/>
    <w:rsid w:val="4C325F10"/>
    <w:rsid w:val="4CCF19B1"/>
    <w:rsid w:val="4D53613E"/>
    <w:rsid w:val="4F493C9D"/>
    <w:rsid w:val="4F4B79F8"/>
    <w:rsid w:val="4F583EE0"/>
    <w:rsid w:val="4FCF212F"/>
    <w:rsid w:val="500A342C"/>
    <w:rsid w:val="516C3C72"/>
    <w:rsid w:val="57164E85"/>
    <w:rsid w:val="574F3E1A"/>
    <w:rsid w:val="57E502DB"/>
    <w:rsid w:val="584C035A"/>
    <w:rsid w:val="5888724A"/>
    <w:rsid w:val="588E3AA5"/>
    <w:rsid w:val="58EB7B73"/>
    <w:rsid w:val="58EF7F4F"/>
    <w:rsid w:val="58F20F01"/>
    <w:rsid w:val="5994444C"/>
    <w:rsid w:val="59A05B5E"/>
    <w:rsid w:val="5AB346C0"/>
    <w:rsid w:val="5AF22A54"/>
    <w:rsid w:val="5B21787C"/>
    <w:rsid w:val="5BA5225B"/>
    <w:rsid w:val="5C317F92"/>
    <w:rsid w:val="5D440B5A"/>
    <w:rsid w:val="5DB76275"/>
    <w:rsid w:val="5E4D0988"/>
    <w:rsid w:val="5ECA1FD8"/>
    <w:rsid w:val="5F6661A5"/>
    <w:rsid w:val="5FC90ED3"/>
    <w:rsid w:val="604C539B"/>
    <w:rsid w:val="60561D75"/>
    <w:rsid w:val="627961EF"/>
    <w:rsid w:val="646C600B"/>
    <w:rsid w:val="65A80E25"/>
    <w:rsid w:val="667C64F8"/>
    <w:rsid w:val="66F422E8"/>
    <w:rsid w:val="67C43A69"/>
    <w:rsid w:val="68D26659"/>
    <w:rsid w:val="68E44095"/>
    <w:rsid w:val="69A74974"/>
    <w:rsid w:val="69D65CD5"/>
    <w:rsid w:val="69E228CC"/>
    <w:rsid w:val="6B797260"/>
    <w:rsid w:val="6BAB3F30"/>
    <w:rsid w:val="6C5630FD"/>
    <w:rsid w:val="6C953C26"/>
    <w:rsid w:val="6CEB5F3B"/>
    <w:rsid w:val="6D056FFD"/>
    <w:rsid w:val="6EAC61C2"/>
    <w:rsid w:val="6ED8604B"/>
    <w:rsid w:val="6ED97E06"/>
    <w:rsid w:val="6FBE3493"/>
    <w:rsid w:val="71D46F9E"/>
    <w:rsid w:val="72691DDC"/>
    <w:rsid w:val="728E1843"/>
    <w:rsid w:val="745919DD"/>
    <w:rsid w:val="76764AC8"/>
    <w:rsid w:val="76BA5919"/>
    <w:rsid w:val="78014865"/>
    <w:rsid w:val="7851759A"/>
    <w:rsid w:val="78970D25"/>
    <w:rsid w:val="78E00CF4"/>
    <w:rsid w:val="78EE6B97"/>
    <w:rsid w:val="791B1956"/>
    <w:rsid w:val="793A1DDD"/>
    <w:rsid w:val="796E5F2A"/>
    <w:rsid w:val="7A5F5873"/>
    <w:rsid w:val="7AC51B7A"/>
    <w:rsid w:val="7B05466C"/>
    <w:rsid w:val="7B220D7A"/>
    <w:rsid w:val="7B825CBD"/>
    <w:rsid w:val="7BD52290"/>
    <w:rsid w:val="7D985324"/>
    <w:rsid w:val="7E631DD5"/>
    <w:rsid w:val="7EED78F1"/>
    <w:rsid w:val="7F220A14"/>
    <w:rsid w:val="7FF5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tabs>
        <w:tab w:val="left" w:pos="420"/>
      </w:tabs>
      <w:spacing w:before="156" w:beforeLines="50"/>
      <w:ind w:firstLine="562"/>
      <w:outlineLvl w:val="0"/>
    </w:pPr>
    <w:rPr>
      <w:rFonts w:ascii="宋体" w:hAnsi="宋体" w:eastAsia="宋体" w:cs="宋体"/>
      <w:b/>
      <w:bCs/>
      <w:kern w:val="44"/>
      <w:sz w:val="28"/>
      <w:szCs w:val="44"/>
    </w:rPr>
  </w:style>
  <w:style w:type="paragraph" w:styleId="3">
    <w:name w:val="heading 2"/>
    <w:basedOn w:val="1"/>
    <w:next w:val="1"/>
    <w:semiHidden/>
    <w:unhideWhenUsed/>
    <w:qFormat/>
    <w:uiPriority w:val="0"/>
    <w:pPr>
      <w:keepNext/>
      <w:keepLines/>
      <w:numPr>
        <w:ilvl w:val="1"/>
        <w:numId w:val="2"/>
      </w:numPr>
      <w:jc w:val="center"/>
      <w:outlineLvl w:val="1"/>
    </w:pPr>
    <w:rPr>
      <w:rFonts w:ascii="宋体" w:hAnsi="宋体" w:eastAsia="宋体" w:cs="宋体"/>
      <w:b/>
      <w:snapToGrid w:val="0"/>
      <w:color w:val="000000"/>
      <w:kern w:val="0"/>
      <w:sz w:val="32"/>
      <w:szCs w:val="21"/>
      <w:lang w:eastAsia="en-US"/>
    </w:rPr>
  </w:style>
  <w:style w:type="paragraph" w:styleId="4">
    <w:name w:val="heading 3"/>
    <w:basedOn w:val="1"/>
    <w:next w:val="1"/>
    <w:semiHidden/>
    <w:unhideWhenUsed/>
    <w:qFormat/>
    <w:uiPriority w:val="0"/>
    <w:pPr>
      <w:keepNext/>
      <w:keepLines/>
      <w:numPr>
        <w:ilvl w:val="2"/>
        <w:numId w:val="2"/>
      </w:numPr>
      <w:tabs>
        <w:tab w:val="left" w:pos="0"/>
        <w:tab w:val="clear" w:pos="420"/>
      </w:tabs>
      <w:spacing w:before="160" w:after="160"/>
      <w:jc w:val="center"/>
      <w:outlineLvl w:val="2"/>
    </w:pPr>
    <w:rPr>
      <w:rFonts w:ascii="Times New Roman" w:hAnsi="Times New Roman" w:eastAsia="宋体" w:cs="Times New Roman"/>
      <w:b/>
      <w:sz w:val="30"/>
      <w:szCs w:val="32"/>
    </w:rPr>
  </w:style>
  <w:style w:type="paragraph" w:styleId="5">
    <w:name w:val="heading 4"/>
    <w:basedOn w:val="1"/>
    <w:next w:val="1"/>
    <w:qFormat/>
    <w:uiPriority w:val="9"/>
    <w:pPr>
      <w:keepNext/>
      <w:spacing w:before="240" w:after="60"/>
      <w:jc w:val="center"/>
      <w:outlineLvl w:val="3"/>
    </w:pPr>
    <w:rPr>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16"/>
    <w:qFormat/>
    <w:uiPriority w:val="0"/>
    <w:pPr>
      <w:adjustRightInd w:val="0"/>
      <w:spacing w:line="360" w:lineRule="atLeast"/>
      <w:textAlignment w:val="baseline"/>
    </w:pPr>
    <w:rPr>
      <w:kern w:val="0"/>
      <w:sz w:val="24"/>
      <w:szCs w:val="20"/>
    </w:rPr>
  </w:style>
  <w:style w:type="paragraph" w:styleId="7">
    <w:name w:val="Body Text"/>
    <w:basedOn w:val="1"/>
    <w:link w:val="17"/>
    <w:unhideWhenUsed/>
    <w:qFormat/>
    <w:uiPriority w:val="99"/>
    <w:pPr>
      <w:spacing w:after="120" w:line="256" w:lineRule="auto"/>
    </w:pPr>
    <w:rPr>
      <w:rFonts w:ascii="Times New Roman" w:hAnsi="Times New Roman"/>
    </w:rPr>
  </w:style>
  <w:style w:type="paragraph" w:styleId="8">
    <w:name w:val="footer"/>
    <w:basedOn w:val="1"/>
    <w:link w:val="14"/>
    <w:qFormat/>
    <w:uiPriority w:val="99"/>
    <w:pPr>
      <w:tabs>
        <w:tab w:val="center" w:pos="4153"/>
        <w:tab w:val="right" w:pos="8306"/>
      </w:tabs>
      <w:snapToGrid w:val="0"/>
    </w:pPr>
    <w:rPr>
      <w:sz w:val="18"/>
      <w:szCs w:val="18"/>
    </w:rPr>
  </w:style>
  <w:style w:type="paragraph" w:styleId="9">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9"/>
    <w:qFormat/>
    <w:uiPriority w:val="0"/>
    <w:rPr>
      <w:kern w:val="2"/>
      <w:sz w:val="18"/>
      <w:szCs w:val="18"/>
    </w:rPr>
  </w:style>
  <w:style w:type="character" w:customStyle="1" w:styleId="14">
    <w:name w:val="页脚 Char"/>
    <w:basedOn w:val="12"/>
    <w:link w:val="8"/>
    <w:qFormat/>
    <w:uiPriority w:val="99"/>
    <w:rPr>
      <w:kern w:val="2"/>
      <w:sz w:val="18"/>
      <w:szCs w:val="18"/>
    </w:rPr>
  </w:style>
  <w:style w:type="paragraph" w:styleId="15">
    <w:name w:val="List Paragraph"/>
    <w:basedOn w:val="1"/>
    <w:qFormat/>
    <w:uiPriority w:val="99"/>
    <w:pPr>
      <w:tabs>
        <w:tab w:val="left" w:pos="1506"/>
      </w:tabs>
      <w:spacing w:line="480" w:lineRule="auto"/>
    </w:pPr>
    <w:rPr>
      <w:rFonts w:ascii="宋体" w:hAnsi="宋体" w:eastAsia="宋体" w:cs="宋体"/>
      <w:b/>
      <w:bCs/>
      <w:sz w:val="24"/>
      <w:szCs w:val="28"/>
    </w:rPr>
  </w:style>
  <w:style w:type="character" w:customStyle="1" w:styleId="16">
    <w:name w:val="批注文字 Char"/>
    <w:basedOn w:val="12"/>
    <w:link w:val="6"/>
    <w:qFormat/>
    <w:uiPriority w:val="0"/>
    <w:rPr>
      <w:rFonts w:asciiTheme="minorHAnsi" w:hAnsiTheme="minorHAnsi" w:eastAsiaTheme="minorEastAsia" w:cstheme="minorBidi"/>
      <w:sz w:val="24"/>
    </w:rPr>
  </w:style>
  <w:style w:type="character" w:customStyle="1" w:styleId="17">
    <w:name w:val="正文文本 Char"/>
    <w:basedOn w:val="12"/>
    <w:link w:val="7"/>
    <w:qFormat/>
    <w:uiPriority w:val="99"/>
    <w:rPr>
      <w:rFonts w:eastAsiaTheme="minorEastAsia" w:cstheme="minorBidi"/>
      <w:kern w:val="2"/>
      <w:sz w:val="21"/>
      <w:szCs w:val="24"/>
    </w:rPr>
  </w:style>
  <w:style w:type="paragraph" w:customStyle="1" w:styleId="18">
    <w:name w:val="Table Text"/>
    <w:basedOn w:val="1"/>
    <w:semiHidden/>
    <w:qFormat/>
    <w:uiPriority w:val="0"/>
    <w:rPr>
      <w:rFonts w:ascii="微软雅黑" w:hAnsi="微软雅黑" w:eastAsia="微软雅黑" w:cs="微软雅黑"/>
      <w:sz w:val="18"/>
      <w:szCs w:val="18"/>
      <w:lang w:val="en-US" w:eastAsia="en-US" w:bidi="ar-SA"/>
    </w:r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ADC90-C871-4622-AEDD-45EF8CB0B4CD}">
  <ds:schemaRefs/>
</ds:datastoreItem>
</file>

<file path=docProps/app.xml><?xml version="1.0" encoding="utf-8"?>
<Properties xmlns="http://schemas.openxmlformats.org/officeDocument/2006/extended-properties" xmlns:vt="http://schemas.openxmlformats.org/officeDocument/2006/docPropsVTypes">
  <Template>Normal</Template>
  <Pages>4</Pages>
  <Words>115</Words>
  <Characters>659</Characters>
  <Lines>5</Lines>
  <Paragraphs>1</Paragraphs>
  <TotalTime>11</TotalTime>
  <ScaleCrop>false</ScaleCrop>
  <LinksUpToDate>false</LinksUpToDate>
  <CharactersWithSpaces>773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2022-05-13T08:46:00Z</dcterms:created>
  <dc:creator>医学装备科-肖婷</dc:creator>
  <cp:lastModifiedBy>WPS_999560183</cp:lastModifiedBy>
  <cp:lastPrinted>2024-03-14T06:28:00Z</cp:lastPrinted>
  <dcterms:modified xsi:type="dcterms:W3CDTF">2024-05-13T03:21:00Z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29784E77B27949DAA3C6779468592E9E_13</vt:lpwstr>
  </property>
</Properties>
</file>