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A252C">
      <w:pPr>
        <w:spacing w:line="480" w:lineRule="exact"/>
        <w:ind w:right="640" w:firstLine="340" w:firstLineChars="100"/>
        <w:rPr>
          <w:rFonts w:hint="eastAsia" w:ascii="黑体" w:eastAsia="黑体"/>
          <w:b/>
          <w:bCs/>
          <w:sz w:val="32"/>
          <w:szCs w:val="20"/>
        </w:rPr>
      </w:pPr>
      <w:r>
        <w:rPr>
          <w:rFonts w:hint="eastAsia" w:ascii="黑体" w:eastAsia="黑体"/>
          <w:sz w:val="32"/>
          <w:szCs w:val="20"/>
        </w:rPr>
        <w:t xml:space="preserve">  </w:t>
      </w:r>
      <w:r>
        <w:rPr>
          <w:rFonts w:hint="eastAsia" w:ascii="黑体" w:eastAsia="黑体"/>
          <w:b/>
          <w:bCs/>
          <w:sz w:val="32"/>
          <w:szCs w:val="20"/>
        </w:rPr>
        <w:t xml:space="preserve">                                      </w:t>
      </w:r>
    </w:p>
    <w:p w14:paraId="50BDDAA5">
      <w:pPr>
        <w:spacing w:line="620" w:lineRule="exact"/>
        <w:ind w:firstLine="763"/>
        <w:jc w:val="center"/>
        <w:rPr>
          <w:rFonts w:hint="eastAsia" w:ascii="黑体" w:eastAsia="黑体"/>
          <w:b/>
          <w:sz w:val="36"/>
          <w:szCs w:val="20"/>
        </w:rPr>
      </w:pPr>
      <w:bookmarkStart w:id="0" w:name="_Hlk174020746"/>
      <w:r>
        <w:rPr>
          <w:rFonts w:hint="eastAsia" w:ascii="黑体" w:eastAsia="黑体"/>
          <w:b/>
          <w:sz w:val="36"/>
          <w:szCs w:val="20"/>
        </w:rPr>
        <w:t>网络安全等级保护评测(2024、2025年)</w:t>
      </w:r>
      <w:bookmarkEnd w:id="0"/>
      <w:r>
        <w:rPr>
          <w:rFonts w:hint="eastAsia" w:ascii="黑体" w:eastAsia="黑体"/>
          <w:b/>
          <w:sz w:val="36"/>
          <w:szCs w:val="20"/>
        </w:rPr>
        <w:t>）</w:t>
      </w:r>
    </w:p>
    <w:sdt>
      <w:sdtPr>
        <w:rPr>
          <w:rFonts w:eastAsia="宋体"/>
          <w:b/>
          <w:bCs/>
          <w:sz w:val="30"/>
          <w:szCs w:val="30"/>
        </w:rPr>
        <w:id w:val="147469458"/>
        <w15:color w:val="DBDBDB"/>
        <w:docPartObj>
          <w:docPartGallery w:val="Table of Contents"/>
          <w:docPartUnique/>
        </w:docPartObj>
      </w:sdtPr>
      <w:sdtEndPr>
        <w:rPr>
          <w:rFonts w:eastAsia="宋体"/>
          <w:b/>
          <w:bCs/>
          <w:sz w:val="30"/>
          <w:szCs w:val="30"/>
        </w:rPr>
      </w:sdtEndPr>
      <w:sdtContent>
        <w:p w14:paraId="193B4A39">
          <w:pPr>
            <w:spacing w:line="240" w:lineRule="auto"/>
            <w:ind w:firstLine="0" w:firstLineChars="0"/>
            <w:jc w:val="center"/>
            <w:rPr>
              <w:rFonts w:hint="eastAsia"/>
              <w:b/>
              <w:bCs/>
              <w:sz w:val="30"/>
              <w:szCs w:val="30"/>
            </w:rPr>
          </w:pPr>
          <w:r>
            <w:rPr>
              <w:rFonts w:eastAsia="宋体"/>
              <w:b/>
              <w:bCs/>
              <w:sz w:val="30"/>
              <w:szCs w:val="30"/>
            </w:rPr>
            <w:t>目</w:t>
          </w:r>
          <w:r>
            <w:rPr>
              <w:rFonts w:hint="eastAsia"/>
              <w:b/>
              <w:bCs/>
              <w:sz w:val="30"/>
              <w:szCs w:val="30"/>
            </w:rPr>
            <w:t xml:space="preserve">    </w:t>
          </w:r>
          <w:r>
            <w:rPr>
              <w:rFonts w:eastAsia="宋体"/>
              <w:b/>
              <w:bCs/>
              <w:sz w:val="30"/>
              <w:szCs w:val="30"/>
            </w:rPr>
            <w:t>录</w:t>
          </w:r>
        </w:p>
        <w:p w14:paraId="0060A089">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TOC \o "1-2" \h \u </w:instrText>
          </w:r>
          <w:r>
            <w:fldChar w:fldCharType="separate"/>
          </w:r>
          <w:r>
            <w:fldChar w:fldCharType="begin"/>
          </w:r>
          <w:r>
            <w:instrText xml:space="preserve"> HYPERLINK \l "_Toc176428575" </w:instrText>
          </w:r>
          <w:r>
            <w:fldChar w:fldCharType="separate"/>
          </w:r>
          <w:r>
            <w:rPr>
              <w:rStyle w:val="23"/>
              <w:rFonts w:hint="eastAsia"/>
            </w:rPr>
            <w:t>1.</w:t>
          </w:r>
          <w:r>
            <w:rPr>
              <w:rFonts w:hint="eastAsia" w:asciiTheme="minorHAnsi" w:hAnsiTheme="minorHAnsi" w:eastAsiaTheme="minorEastAsia" w:cstheme="minorBidi"/>
              <w:spacing w:val="0"/>
              <w:sz w:val="21"/>
              <w:szCs w:val="22"/>
              <w14:ligatures w14:val="standardContextual"/>
            </w:rPr>
            <w:tab/>
          </w:r>
          <w:r>
            <w:rPr>
              <w:rStyle w:val="23"/>
              <w:rFonts w:hint="eastAsia"/>
            </w:rPr>
            <w:t>项目简介</w:t>
          </w:r>
          <w:r>
            <w:rPr>
              <w:rFonts w:hint="eastAsia"/>
            </w:rPr>
            <w:tab/>
          </w:r>
          <w:r>
            <w:rPr>
              <w:rFonts w:hint="eastAsia"/>
            </w:rPr>
            <w:fldChar w:fldCharType="begin"/>
          </w:r>
          <w:r>
            <w:rPr>
              <w:rFonts w:hint="eastAsia"/>
            </w:rPr>
            <w:instrText xml:space="preserve"> </w:instrText>
          </w:r>
          <w:r>
            <w:instrText xml:space="preserve">PAGEREF _Toc176428575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57B75DC0">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"_Toc176428576" </w:instrText>
          </w:r>
          <w:r>
            <w:fldChar w:fldCharType="separate"/>
          </w:r>
          <w:r>
            <w:rPr>
              <w:rStyle w:val="23"/>
              <w:rFonts w:hint="eastAsia"/>
            </w:rPr>
            <w:t>1.1.</w:t>
          </w:r>
          <w:r>
            <w:rPr>
              <w:rFonts w:hint="eastAsia" w:asciiTheme="minorHAnsi" w:hAnsiTheme="minorHAnsi" w:eastAsiaTheme="minorEastAsia" w:cstheme="minorBidi"/>
              <w:spacing w:val="0"/>
              <w:sz w:val="21"/>
              <w:szCs w:val="22"/>
              <w14:ligatures w14:val="standardContextual"/>
            </w:rPr>
            <w:tab/>
          </w:r>
          <w:r>
            <w:rPr>
              <w:rStyle w:val="23"/>
              <w:rFonts w:hint="eastAsia"/>
            </w:rPr>
            <w:t>项目名称</w:t>
          </w:r>
          <w:r>
            <w:rPr>
              <w:rFonts w:hint="eastAsia"/>
            </w:rPr>
            <w:tab/>
          </w:r>
          <w:r>
            <w:rPr>
              <w:rFonts w:hint="eastAsia"/>
            </w:rPr>
            <w:fldChar w:fldCharType="begin"/>
          </w:r>
          <w:r>
            <w:rPr>
              <w:rFonts w:hint="eastAsia"/>
            </w:rPr>
            <w:instrText xml:space="preserve"> </w:instrText>
          </w:r>
          <w:r>
            <w:instrText xml:space="preserve">PAGEREF _Toc176428576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6CB7B397">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"_Toc176428577" </w:instrText>
          </w:r>
          <w:r>
            <w:fldChar w:fldCharType="separate"/>
          </w:r>
          <w:r>
            <w:rPr>
              <w:rStyle w:val="23"/>
              <w:rFonts w:hint="eastAsia"/>
            </w:rPr>
            <w:t>1.2.</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项目建设单位</w:t>
          </w:r>
          <w:r>
            <w:rPr>
              <w:rFonts w:hint="eastAsia"/>
            </w:rPr>
            <w:tab/>
          </w:r>
          <w:r>
            <w:rPr>
              <w:rFonts w:hint="eastAsia"/>
            </w:rPr>
            <w:fldChar w:fldCharType="begin"/>
          </w:r>
          <w:r>
            <w:rPr>
              <w:rFonts w:hint="eastAsia"/>
            </w:rPr>
            <w:instrText xml:space="preserve"> </w:instrText>
          </w:r>
          <w:r>
            <w:instrText xml:space="preserve">PAGEREF _Toc176428577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5B46C93D">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"_Toc176428578" </w:instrText>
          </w:r>
          <w:r>
            <w:fldChar w:fldCharType="separate"/>
          </w:r>
          <w:r>
            <w:rPr>
              <w:rStyle w:val="23"/>
              <w:rFonts w:hint="eastAsia"/>
            </w:rPr>
            <w:t>1.3.</w:t>
          </w:r>
          <w:r>
            <w:rPr>
              <w:rFonts w:hint="eastAsia" w:asciiTheme="minorHAnsi" w:hAnsiTheme="minorHAnsi" w:eastAsiaTheme="minorEastAsia" w:cstheme="minorBidi"/>
              <w:spacing w:val="0"/>
              <w:sz w:val="21"/>
              <w:szCs w:val="22"/>
              <w14:ligatures w14:val="standardContextual"/>
            </w:rPr>
            <w:tab/>
          </w:r>
          <w:r>
            <w:rPr>
              <w:rStyle w:val="23"/>
              <w:rFonts w:hint="eastAsia"/>
            </w:rPr>
            <w:t>项目建议书编制依据</w:t>
          </w:r>
          <w:r>
            <w:rPr>
              <w:rFonts w:hint="eastAsia"/>
            </w:rPr>
            <w:tab/>
          </w:r>
          <w:r>
            <w:rPr>
              <w:rFonts w:hint="eastAsia"/>
            </w:rPr>
            <w:fldChar w:fldCharType="begin"/>
          </w:r>
          <w:r>
            <w:rPr>
              <w:rFonts w:hint="eastAsia"/>
            </w:rPr>
            <w:instrText xml:space="preserve"> </w:instrText>
          </w:r>
          <w:r>
            <w:instrText xml:space="preserve">PAGEREF _Toc176428578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2D8E917F">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"_Toc176428579" </w:instrText>
          </w:r>
          <w:r>
            <w:fldChar w:fldCharType="separate"/>
          </w:r>
          <w:r>
            <w:rPr>
              <w:rStyle w:val="23"/>
              <w:rFonts w:hint="eastAsia"/>
            </w:rPr>
            <w:t>1.4.</w:t>
          </w:r>
          <w:r>
            <w:rPr>
              <w:rFonts w:hint="eastAsia" w:asciiTheme="minorHAnsi" w:hAnsiTheme="minorHAnsi" w:eastAsiaTheme="minorEastAsia" w:cstheme="minorBidi"/>
              <w:spacing w:val="0"/>
              <w:sz w:val="21"/>
              <w:szCs w:val="22"/>
              <w14:ligatures w14:val="standardContextual"/>
            </w:rPr>
            <w:tab/>
          </w:r>
          <w:r>
            <w:rPr>
              <w:rStyle w:val="23"/>
              <w:rFonts w:hint="eastAsia"/>
            </w:rPr>
            <w:t>项目概况</w:t>
          </w:r>
          <w:r>
            <w:rPr>
              <w:rFonts w:hint="eastAsia"/>
            </w:rPr>
            <w:tab/>
          </w:r>
          <w:r>
            <w:rPr>
              <w:rFonts w:hint="eastAsia"/>
            </w:rPr>
            <w:fldChar w:fldCharType="begin"/>
          </w:r>
          <w:r>
            <w:rPr>
              <w:rFonts w:hint="eastAsia"/>
            </w:rPr>
            <w:instrText xml:space="preserve"> </w:instrText>
          </w:r>
          <w:r>
            <w:instrText xml:space="preserve">PAGEREF _Toc176428579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127385B3">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"_Toc176428580" </w:instrText>
          </w:r>
          <w:r>
            <w:fldChar w:fldCharType="separate"/>
          </w:r>
          <w:r>
            <w:rPr>
              <w:rStyle w:val="23"/>
              <w:rFonts w:hint="eastAsia"/>
            </w:rPr>
            <w:t>1.5.</w:t>
          </w:r>
          <w:r>
            <w:rPr>
              <w:rFonts w:hint="eastAsia" w:asciiTheme="minorHAnsi" w:hAnsiTheme="minorHAnsi" w:eastAsiaTheme="minorEastAsia" w:cstheme="minorBidi"/>
              <w:spacing w:val="0"/>
              <w:sz w:val="21"/>
              <w:szCs w:val="22"/>
              <w14:ligatures w14:val="standardContextual"/>
            </w:rPr>
            <w:tab/>
          </w:r>
          <w:r>
            <w:rPr>
              <w:rStyle w:val="23"/>
              <w:rFonts w:hint="eastAsia"/>
            </w:rPr>
            <w:t>主要结论和建议</w:t>
          </w:r>
          <w:r>
            <w:rPr>
              <w:rFonts w:hint="eastAsia"/>
            </w:rPr>
            <w:tab/>
          </w:r>
          <w:r>
            <w:rPr>
              <w:rFonts w:hint="eastAsia"/>
            </w:rPr>
            <w:fldChar w:fldCharType="begin"/>
          </w:r>
          <w:r>
            <w:rPr>
              <w:rFonts w:hint="eastAsia"/>
            </w:rPr>
            <w:instrText xml:space="preserve"> </w:instrText>
          </w:r>
          <w:r>
            <w:instrText xml:space="preserve">PAGEREF _Toc176428580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35E52142">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"_Toc176428581" </w:instrText>
          </w:r>
          <w:r>
            <w:fldChar w:fldCharType="separate"/>
          </w:r>
          <w:r>
            <w:rPr>
              <w:rStyle w:val="23"/>
              <w:rFonts w:hint="eastAsia"/>
            </w:rPr>
            <w:t>2.</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项目建设单位概况</w:t>
          </w:r>
          <w:r>
            <w:rPr>
              <w:rFonts w:hint="eastAsia"/>
            </w:rPr>
            <w:tab/>
          </w:r>
          <w:r>
            <w:rPr>
              <w:rFonts w:hint="eastAsia"/>
            </w:rPr>
            <w:fldChar w:fldCharType="begin"/>
          </w:r>
          <w:r>
            <w:rPr>
              <w:rFonts w:hint="eastAsia"/>
            </w:rPr>
            <w:instrText xml:space="preserve"> </w:instrText>
          </w:r>
          <w:r>
            <w:instrText xml:space="preserve">PAGEREF _Toc176428581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14:paraId="2C9B505C">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"_Toc176428582" </w:instrText>
          </w:r>
          <w:r>
            <w:fldChar w:fldCharType="separate"/>
          </w:r>
          <w:r>
            <w:rPr>
              <w:rStyle w:val="23"/>
              <w:rFonts w:hint="eastAsia"/>
            </w:rPr>
            <w:t>2.1.</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项目建设单位与职能</w:t>
          </w:r>
          <w:r>
            <w:rPr>
              <w:rFonts w:hint="eastAsia"/>
            </w:rPr>
            <w:tab/>
          </w:r>
          <w:r>
            <w:rPr>
              <w:rFonts w:hint="eastAsia"/>
            </w:rPr>
            <w:fldChar w:fldCharType="begin"/>
          </w:r>
          <w:r>
            <w:rPr>
              <w:rFonts w:hint="eastAsia"/>
            </w:rPr>
            <w:instrText xml:space="preserve"> </w:instrText>
          </w:r>
          <w:r>
            <w:instrText xml:space="preserve">PAGEREF _Toc176428582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14:paraId="75892A74">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"_Toc176428583" </w:instrText>
          </w:r>
          <w:r>
            <w:fldChar w:fldCharType="separate"/>
          </w:r>
          <w:r>
            <w:rPr>
              <w:rStyle w:val="23"/>
              <w:rFonts w:hint="eastAsia"/>
            </w:rPr>
            <w:t>2.2.</w:t>
          </w:r>
          <w:r>
            <w:rPr>
              <w:rFonts w:hint="eastAsia" w:asciiTheme="minorHAnsi" w:hAnsiTheme="minorHAnsi" w:eastAsiaTheme="minorEastAsia" w:cstheme="minorBidi"/>
              <w:spacing w:val="0"/>
              <w:sz w:val="21"/>
              <w:szCs w:val="22"/>
              <w14:ligatures w14:val="standardContextual"/>
            </w:rPr>
            <w:tab/>
          </w:r>
          <w:r>
            <w:rPr>
              <w:rStyle w:val="23"/>
              <w:rFonts w:hint="eastAsia"/>
            </w:rPr>
            <w:t>项目实施机构与职责</w:t>
          </w:r>
          <w:r>
            <w:rPr>
              <w:rFonts w:hint="eastAsia"/>
            </w:rPr>
            <w:tab/>
          </w:r>
          <w:r>
            <w:rPr>
              <w:rFonts w:hint="eastAsia"/>
            </w:rPr>
            <w:fldChar w:fldCharType="begin"/>
          </w:r>
          <w:r>
            <w:rPr>
              <w:rFonts w:hint="eastAsia"/>
            </w:rPr>
            <w:instrText xml:space="preserve"> </w:instrText>
          </w:r>
          <w:r>
            <w:instrText xml:space="preserve">PAGEREF _Toc176428583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74EDD0A0">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"_Toc176428584" </w:instrText>
          </w:r>
          <w:r>
            <w:fldChar w:fldCharType="separate"/>
          </w:r>
          <w:r>
            <w:rPr>
              <w:rStyle w:val="23"/>
              <w:rFonts w:hint="eastAsia"/>
            </w:rPr>
            <w:t>3.</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项目建设的必要性</w:t>
          </w:r>
          <w:r>
            <w:rPr>
              <w:rFonts w:hint="eastAsia"/>
            </w:rPr>
            <w:tab/>
          </w:r>
          <w:r>
            <w:rPr>
              <w:rFonts w:hint="eastAsia"/>
            </w:rPr>
            <w:fldChar w:fldCharType="begin"/>
          </w:r>
          <w:r>
            <w:rPr>
              <w:rFonts w:hint="eastAsia"/>
            </w:rPr>
            <w:instrText xml:space="preserve"> </w:instrText>
          </w:r>
          <w:r>
            <w:instrText xml:space="preserve">PAGEREF _Toc176428584 \h</w:instrText>
          </w:r>
          <w:r>
            <w:rPr>
              <w:rFonts w:hint="eastAsia"/>
            </w:rPr>
            <w:instrText xml:space="preserve"> </w:instrText>
          </w:r>
          <w:r>
            <w:rPr>
              <w:rFonts w:hint="eastAsia"/>
            </w:rPr>
            <w:fldChar w:fldCharType="separate"/>
          </w:r>
          <w:r>
            <w:rPr>
              <w:rFonts w:hint="eastAsia"/>
            </w:rPr>
            <w:t>5</w:t>
          </w:r>
          <w:r>
            <w:rPr>
              <w:rFonts w:hint="eastAsia"/>
            </w:rPr>
            <w:fldChar w:fldCharType="end"/>
          </w:r>
          <w:r>
            <w:rPr>
              <w:rFonts w:hint="eastAsia"/>
            </w:rPr>
            <w:fldChar w:fldCharType="end"/>
          </w:r>
        </w:p>
        <w:p w14:paraId="4E1DDA95">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"_Toc176428585" </w:instrText>
          </w:r>
          <w:r>
            <w:fldChar w:fldCharType="separate"/>
          </w:r>
          <w:r>
            <w:rPr>
              <w:rStyle w:val="23"/>
              <w:rFonts w:hint="eastAsia"/>
            </w:rPr>
            <w:t>3.1.</w:t>
          </w:r>
          <w:r>
            <w:rPr>
              <w:rFonts w:hint="eastAsia" w:asciiTheme="minorHAnsi" w:hAnsiTheme="minorHAnsi" w:eastAsiaTheme="minorEastAsia" w:cstheme="minorBidi"/>
              <w:spacing w:val="0"/>
              <w:sz w:val="21"/>
              <w:szCs w:val="22"/>
              <w14:ligatures w14:val="standardContextual"/>
            </w:rPr>
            <w:tab/>
          </w:r>
          <w:r>
            <w:rPr>
              <w:rStyle w:val="23"/>
              <w:rFonts w:hint="eastAsia"/>
            </w:rPr>
            <w:t>项目背景和依据</w:t>
          </w:r>
          <w:r>
            <w:rPr>
              <w:rFonts w:hint="eastAsia"/>
            </w:rPr>
            <w:tab/>
          </w:r>
          <w:r>
            <w:rPr>
              <w:rFonts w:hint="eastAsia"/>
            </w:rPr>
            <w:fldChar w:fldCharType="begin"/>
          </w:r>
          <w:r>
            <w:rPr>
              <w:rFonts w:hint="eastAsia"/>
            </w:rPr>
            <w:instrText xml:space="preserve"> </w:instrText>
          </w:r>
          <w:r>
            <w:instrText xml:space="preserve">PAGEREF _Toc176428585 \h</w:instrText>
          </w:r>
          <w:r>
            <w:rPr>
              <w:rFonts w:hint="eastAsia"/>
            </w:rPr>
            <w:instrText xml:space="preserve"> </w:instrText>
          </w:r>
          <w:r>
            <w:rPr>
              <w:rFonts w:hint="eastAsia"/>
            </w:rPr>
            <w:fldChar w:fldCharType="separate"/>
          </w:r>
          <w:r>
            <w:rPr>
              <w:rFonts w:hint="eastAsia"/>
            </w:rPr>
            <w:t>5</w:t>
          </w:r>
          <w:r>
            <w:rPr>
              <w:rFonts w:hint="eastAsia"/>
            </w:rPr>
            <w:fldChar w:fldCharType="end"/>
          </w:r>
          <w:r>
            <w:rPr>
              <w:rFonts w:hint="eastAsia"/>
            </w:rPr>
            <w:fldChar w:fldCharType="end"/>
          </w:r>
        </w:p>
        <w:p w14:paraId="183E158E">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"_Toc176428586" </w:instrText>
          </w:r>
          <w:r>
            <w:fldChar w:fldCharType="separate"/>
          </w:r>
          <w:r>
            <w:rPr>
              <w:rStyle w:val="23"/>
              <w:rFonts w:hint="eastAsia"/>
            </w:rPr>
            <w:t>3.2.</w:t>
          </w:r>
          <w:r>
            <w:rPr>
              <w:rFonts w:hint="eastAsia" w:asciiTheme="minorHAnsi" w:hAnsiTheme="minorHAnsi" w:eastAsiaTheme="minorEastAsia" w:cstheme="minorBidi"/>
              <w:spacing w:val="0"/>
              <w:sz w:val="21"/>
              <w:szCs w:val="22"/>
              <w14:ligatures w14:val="standardContextual"/>
            </w:rPr>
            <w:tab/>
          </w:r>
          <w:r>
            <w:rPr>
              <w:rStyle w:val="23"/>
              <w:rFonts w:hint="eastAsia"/>
            </w:rPr>
            <w:t>网络安全等级保护评测(2024、2025年)标准</w:t>
          </w:r>
          <w:r>
            <w:rPr>
              <w:rFonts w:hint="eastAsia"/>
            </w:rPr>
            <w:tab/>
          </w:r>
          <w:r>
            <w:rPr>
              <w:rFonts w:hint="eastAsia"/>
            </w:rPr>
            <w:fldChar w:fldCharType="begin"/>
          </w:r>
          <w:r>
            <w:rPr>
              <w:rFonts w:hint="eastAsia"/>
            </w:rPr>
            <w:instrText xml:space="preserve"> </w:instrText>
          </w:r>
          <w:r>
            <w:instrText xml:space="preserve">PAGEREF _Toc176428586 \h</w:instrText>
          </w:r>
          <w:r>
            <w:rPr>
              <w:rFonts w:hint="eastAsia"/>
            </w:rPr>
            <w:instrText xml:space="preserve"> </w:instrText>
          </w:r>
          <w:r>
            <w:rPr>
              <w:rFonts w:hint="eastAsia"/>
            </w:rPr>
            <w:fldChar w:fldCharType="separate"/>
          </w:r>
          <w:r>
            <w:rPr>
              <w:rFonts w:hint="eastAsia"/>
            </w:rPr>
            <w:t>5</w:t>
          </w:r>
          <w:r>
            <w:rPr>
              <w:rFonts w:hint="eastAsia"/>
            </w:rPr>
            <w:fldChar w:fldCharType="end"/>
          </w:r>
          <w:r>
            <w:rPr>
              <w:rFonts w:hint="eastAsia"/>
            </w:rPr>
            <w:fldChar w:fldCharType="end"/>
          </w:r>
        </w:p>
        <w:p w14:paraId="4C5F8D00">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"_Toc176428587" </w:instrText>
          </w:r>
          <w:r>
            <w:fldChar w:fldCharType="separate"/>
          </w:r>
          <w:r>
            <w:rPr>
              <w:rStyle w:val="23"/>
              <w:rFonts w:hint="eastAsia"/>
            </w:rPr>
            <w:t>3.3.</w:t>
          </w:r>
          <w:r>
            <w:rPr>
              <w:rFonts w:hint="eastAsia" w:asciiTheme="minorHAnsi" w:hAnsiTheme="minorHAnsi" w:eastAsiaTheme="minorEastAsia" w:cstheme="minorBidi"/>
              <w:spacing w:val="0"/>
              <w:sz w:val="21"/>
              <w:szCs w:val="22"/>
              <w14:ligatures w14:val="standardContextual"/>
            </w:rPr>
            <w:tab/>
          </w:r>
          <w:r>
            <w:rPr>
              <w:rStyle w:val="23"/>
              <w:rFonts w:hint="eastAsia"/>
            </w:rPr>
            <w:t>现有网络安全等级保护评测状况</w:t>
          </w:r>
          <w:r>
            <w:rPr>
              <w:rFonts w:hint="eastAsia"/>
            </w:rPr>
            <w:tab/>
          </w:r>
          <w:r>
            <w:rPr>
              <w:rFonts w:hint="eastAsia"/>
            </w:rPr>
            <w:fldChar w:fldCharType="begin"/>
          </w:r>
          <w:r>
            <w:rPr>
              <w:rFonts w:hint="eastAsia"/>
            </w:rPr>
            <w:instrText xml:space="preserve"> </w:instrText>
          </w:r>
          <w:r>
            <w:instrText xml:space="preserve">PAGEREF _Toc176428587 \h</w:instrText>
          </w:r>
          <w:r>
            <w:rPr>
              <w:rFonts w:hint="eastAsia"/>
            </w:rPr>
            <w:instrText xml:space="preserve"> </w:instrText>
          </w:r>
          <w:r>
            <w:rPr>
              <w:rFonts w:hint="eastAsia"/>
            </w:rPr>
            <w:fldChar w:fldCharType="separate"/>
          </w:r>
          <w:r>
            <w:rPr>
              <w:rFonts w:hint="eastAsia"/>
            </w:rPr>
            <w:t>6</w:t>
          </w:r>
          <w:r>
            <w:rPr>
              <w:rFonts w:hint="eastAsia"/>
            </w:rPr>
            <w:fldChar w:fldCharType="end"/>
          </w:r>
          <w:r>
            <w:rPr>
              <w:rFonts w:hint="eastAsia"/>
            </w:rPr>
            <w:fldChar w:fldCharType="end"/>
          </w:r>
        </w:p>
        <w:p w14:paraId="1500EC51">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"_Toc176428588" </w:instrText>
          </w:r>
          <w:r>
            <w:fldChar w:fldCharType="separate"/>
          </w:r>
          <w:r>
            <w:rPr>
              <w:rStyle w:val="23"/>
              <w:rFonts w:hint="eastAsia"/>
            </w:rPr>
            <w:t>3.4.</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项目建设的意义和必要性</w:t>
          </w:r>
          <w:r>
            <w:rPr>
              <w:rFonts w:hint="eastAsia"/>
            </w:rPr>
            <w:tab/>
          </w:r>
          <w:r>
            <w:rPr>
              <w:rFonts w:hint="eastAsia"/>
            </w:rPr>
            <w:fldChar w:fldCharType="begin"/>
          </w:r>
          <w:r>
            <w:rPr>
              <w:rFonts w:hint="eastAsia"/>
            </w:rPr>
            <w:instrText xml:space="preserve"> </w:instrText>
          </w:r>
          <w:r>
            <w:instrText xml:space="preserve">PAGEREF _Toc176428588 \h</w:instrText>
          </w:r>
          <w:r>
            <w:rPr>
              <w:rFonts w:hint="eastAsia"/>
            </w:rPr>
            <w:instrText xml:space="preserve"> </w:instrText>
          </w:r>
          <w:r>
            <w:rPr>
              <w:rFonts w:hint="eastAsia"/>
            </w:rPr>
            <w:fldChar w:fldCharType="separate"/>
          </w:r>
          <w:r>
            <w:rPr>
              <w:rFonts w:hint="eastAsia"/>
            </w:rPr>
            <w:t>6</w:t>
          </w:r>
          <w:r>
            <w:rPr>
              <w:rFonts w:hint="eastAsia"/>
            </w:rPr>
            <w:fldChar w:fldCharType="end"/>
          </w:r>
          <w:r>
            <w:rPr>
              <w:rFonts w:hint="eastAsia"/>
            </w:rPr>
            <w:fldChar w:fldCharType="end"/>
          </w:r>
        </w:p>
        <w:p w14:paraId="1F749173">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"_Toc176428589" </w:instrText>
          </w:r>
          <w:r>
            <w:fldChar w:fldCharType="separate"/>
          </w:r>
          <w:r>
            <w:rPr>
              <w:rStyle w:val="23"/>
              <w:rFonts w:hint="eastAsia"/>
            </w:rPr>
            <w:t>4.</w:t>
          </w:r>
          <w:r>
            <w:rPr>
              <w:rFonts w:hint="eastAsia" w:asciiTheme="minorHAnsi" w:hAnsiTheme="minorHAnsi" w:eastAsiaTheme="minorEastAsia" w:cstheme="minorBidi"/>
              <w:spacing w:val="0"/>
              <w:sz w:val="21"/>
              <w:szCs w:val="22"/>
              <w14:ligatures w14:val="standardContextual"/>
            </w:rPr>
            <w:tab/>
          </w:r>
          <w:r>
            <w:rPr>
              <w:rStyle w:val="23"/>
              <w:rFonts w:hint="eastAsia"/>
            </w:rPr>
            <w:t>需求分析</w:t>
          </w:r>
          <w:r>
            <w:rPr>
              <w:rFonts w:hint="eastAsia"/>
            </w:rPr>
            <w:tab/>
          </w:r>
          <w:r>
            <w:rPr>
              <w:rFonts w:hint="eastAsia"/>
            </w:rPr>
            <w:fldChar w:fldCharType="begin"/>
          </w:r>
          <w:r>
            <w:rPr>
              <w:rFonts w:hint="eastAsia"/>
            </w:rPr>
            <w:instrText xml:space="preserve"> </w:instrText>
          </w:r>
          <w:r>
            <w:instrText xml:space="preserve">PAGEREF _Toc176428589 \h</w:instrText>
          </w:r>
          <w:r>
            <w:rPr>
              <w:rFonts w:hint="eastAsia"/>
            </w:rPr>
            <w:instrText xml:space="preserve"> </w:instrText>
          </w:r>
          <w:r>
            <w:rPr>
              <w:rFonts w:hint="eastAsia"/>
            </w:rPr>
            <w:fldChar w:fldCharType="separate"/>
          </w:r>
          <w:r>
            <w:rPr>
              <w:rFonts w:hint="eastAsia"/>
            </w:rPr>
            <w:t>8</w:t>
          </w:r>
          <w:r>
            <w:rPr>
              <w:rFonts w:hint="eastAsia"/>
            </w:rPr>
            <w:fldChar w:fldCharType="end"/>
          </w:r>
          <w:r>
            <w:rPr>
              <w:rFonts w:hint="eastAsia"/>
            </w:rPr>
            <w:fldChar w:fldCharType="end"/>
          </w:r>
        </w:p>
        <w:p w14:paraId="27AA5E56">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"_Toc176428590" </w:instrText>
          </w:r>
          <w:r>
            <w:fldChar w:fldCharType="separate"/>
          </w:r>
          <w:r>
            <w:rPr>
              <w:rStyle w:val="23"/>
              <w:rFonts w:hint="eastAsia"/>
            </w:rPr>
            <w:t>4.1.</w:t>
          </w:r>
          <w:r>
            <w:rPr>
              <w:rFonts w:hint="eastAsia" w:asciiTheme="minorHAnsi" w:hAnsiTheme="minorHAnsi" w:eastAsiaTheme="minorEastAsia" w:cstheme="minorBidi"/>
              <w:spacing w:val="0"/>
              <w:sz w:val="21"/>
              <w:szCs w:val="22"/>
              <w14:ligatures w14:val="standardContextual"/>
            </w:rPr>
            <w:tab/>
          </w:r>
          <w:r>
            <w:rPr>
              <w:rStyle w:val="23"/>
              <w:rFonts w:hint="eastAsia"/>
            </w:rPr>
            <w:t>安全保密与自主可控</w:t>
          </w:r>
          <w:r>
            <w:rPr>
              <w:rFonts w:hint="eastAsia"/>
            </w:rPr>
            <w:tab/>
          </w:r>
          <w:r>
            <w:rPr>
              <w:rFonts w:hint="eastAsia"/>
            </w:rPr>
            <w:fldChar w:fldCharType="begin"/>
          </w:r>
          <w:r>
            <w:rPr>
              <w:rFonts w:hint="eastAsia"/>
            </w:rPr>
            <w:instrText xml:space="preserve"> </w:instrText>
          </w:r>
          <w:r>
            <w:instrText xml:space="preserve">PAGEREF _Toc176428590 \h</w:instrText>
          </w:r>
          <w:r>
            <w:rPr>
              <w:rFonts w:hint="eastAsia"/>
            </w:rPr>
            <w:instrText xml:space="preserve"> </w:instrText>
          </w:r>
          <w:r>
            <w:rPr>
              <w:rFonts w:hint="eastAsia"/>
            </w:rPr>
            <w:fldChar w:fldCharType="separate"/>
          </w:r>
          <w:r>
            <w:rPr>
              <w:rFonts w:hint="eastAsia"/>
            </w:rPr>
            <w:t>8</w:t>
          </w:r>
          <w:r>
            <w:rPr>
              <w:rFonts w:hint="eastAsia"/>
            </w:rPr>
            <w:fldChar w:fldCharType="end"/>
          </w:r>
          <w:r>
            <w:rPr>
              <w:rFonts w:hint="eastAsia"/>
            </w:rPr>
            <w:fldChar w:fldCharType="end"/>
          </w:r>
        </w:p>
        <w:p w14:paraId="5EC9E9CC">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"_Toc176428591" </w:instrText>
          </w:r>
          <w:r>
            <w:fldChar w:fldCharType="separate"/>
          </w:r>
          <w:r>
            <w:rPr>
              <w:rStyle w:val="23"/>
              <w:rFonts w:hint="eastAsia"/>
            </w:rPr>
            <w:t>4.2.</w:t>
          </w:r>
          <w:r>
            <w:rPr>
              <w:rFonts w:hint="eastAsia" w:asciiTheme="minorHAnsi" w:hAnsiTheme="minorHAnsi" w:eastAsiaTheme="minorEastAsia" w:cstheme="minorBidi"/>
              <w:spacing w:val="0"/>
              <w:sz w:val="21"/>
              <w:szCs w:val="22"/>
              <w14:ligatures w14:val="standardContextual"/>
            </w:rPr>
            <w:tab/>
          </w:r>
          <w:r>
            <w:rPr>
              <w:rStyle w:val="23"/>
              <w:rFonts w:hint="eastAsia"/>
            </w:rPr>
            <w:t>系统需求分析</w:t>
          </w:r>
          <w:r>
            <w:rPr>
              <w:rFonts w:hint="eastAsia"/>
            </w:rPr>
            <w:tab/>
          </w:r>
          <w:r>
            <w:rPr>
              <w:rFonts w:hint="eastAsia"/>
            </w:rPr>
            <w:fldChar w:fldCharType="begin"/>
          </w:r>
          <w:r>
            <w:rPr>
              <w:rFonts w:hint="eastAsia"/>
            </w:rPr>
            <w:instrText xml:space="preserve"> </w:instrText>
          </w:r>
          <w:r>
            <w:instrText xml:space="preserve">PAGEREF _Toc176428591 \h</w:instrText>
          </w:r>
          <w:r>
            <w:rPr>
              <w:rFonts w:hint="eastAsia"/>
            </w:rPr>
            <w:instrText xml:space="preserve"> </w:instrText>
          </w:r>
          <w:r>
            <w:rPr>
              <w:rFonts w:hint="eastAsia"/>
            </w:rPr>
            <w:fldChar w:fldCharType="separate"/>
          </w:r>
          <w:r>
            <w:rPr>
              <w:rFonts w:hint="eastAsia"/>
            </w:rPr>
            <w:t>11</w:t>
          </w:r>
          <w:r>
            <w:rPr>
              <w:rFonts w:hint="eastAsia"/>
            </w:rPr>
            <w:fldChar w:fldCharType="end"/>
          </w:r>
          <w:r>
            <w:rPr>
              <w:rFonts w:hint="eastAsia"/>
            </w:rPr>
            <w:fldChar w:fldCharType="end"/>
          </w:r>
        </w:p>
        <w:p w14:paraId="5806D553">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"_Toc176428592" </w:instrText>
          </w:r>
          <w:r>
            <w:fldChar w:fldCharType="separate"/>
          </w:r>
          <w:r>
            <w:rPr>
              <w:rStyle w:val="23"/>
              <w:rFonts w:hint="eastAsia"/>
            </w:rPr>
            <w:t>5.</w:t>
          </w:r>
          <w:r>
            <w:rPr>
              <w:rFonts w:hint="eastAsia" w:asciiTheme="minorHAnsi" w:hAnsiTheme="minorHAnsi" w:eastAsiaTheme="minorEastAsia" w:cstheme="minorBidi"/>
              <w:spacing w:val="0"/>
              <w:sz w:val="21"/>
              <w:szCs w:val="22"/>
              <w14:ligatures w14:val="standardContextual"/>
            </w:rPr>
            <w:tab/>
          </w:r>
          <w:r>
            <w:rPr>
              <w:rStyle w:val="23"/>
              <w:rFonts w:hint="eastAsia"/>
            </w:rPr>
            <w:t>建设方案</w:t>
          </w:r>
          <w:r>
            <w:rPr>
              <w:rFonts w:hint="eastAsia"/>
            </w:rPr>
            <w:tab/>
          </w:r>
          <w:r>
            <w:rPr>
              <w:rFonts w:hint="eastAsia"/>
            </w:rPr>
            <w:fldChar w:fldCharType="begin"/>
          </w:r>
          <w:r>
            <w:rPr>
              <w:rFonts w:hint="eastAsia"/>
            </w:rPr>
            <w:instrText xml:space="preserve"> </w:instrText>
          </w:r>
          <w:r>
            <w:instrText xml:space="preserve">PAGEREF _Toc176428592 \h</w:instrText>
          </w:r>
          <w:r>
            <w:rPr>
              <w:rFonts w:hint="eastAsia"/>
            </w:rPr>
            <w:instrText xml:space="preserve"> </w:instrText>
          </w:r>
          <w:r>
            <w:rPr>
              <w:rFonts w:hint="eastAsia"/>
            </w:rPr>
            <w:fldChar w:fldCharType="separate"/>
          </w:r>
          <w:r>
            <w:rPr>
              <w:rFonts w:hint="eastAsia"/>
            </w:rPr>
            <w:t>15</w:t>
          </w:r>
          <w:r>
            <w:rPr>
              <w:rFonts w:hint="eastAsia"/>
            </w:rPr>
            <w:fldChar w:fldCharType="end"/>
          </w:r>
          <w:r>
            <w:rPr>
              <w:rFonts w:hint="eastAsia"/>
            </w:rPr>
            <w:fldChar w:fldCharType="end"/>
          </w:r>
        </w:p>
        <w:p w14:paraId="4897F715">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"_Toc176428593" </w:instrText>
          </w:r>
          <w:r>
            <w:fldChar w:fldCharType="separate"/>
          </w:r>
          <w:r>
            <w:rPr>
              <w:rStyle w:val="23"/>
              <w:rFonts w:hint="eastAsia"/>
            </w:rPr>
            <w:t>5.1.</w:t>
          </w:r>
          <w:r>
            <w:rPr>
              <w:rFonts w:hint="eastAsia" w:asciiTheme="minorHAnsi" w:hAnsiTheme="minorHAnsi" w:eastAsiaTheme="minorEastAsia" w:cstheme="minorBidi"/>
              <w:spacing w:val="0"/>
              <w:sz w:val="21"/>
              <w:szCs w:val="22"/>
              <w14:ligatures w14:val="standardContextual"/>
            </w:rPr>
            <w:tab/>
          </w:r>
          <w:r>
            <w:rPr>
              <w:rStyle w:val="23"/>
              <w:rFonts w:hint="eastAsia"/>
            </w:rPr>
            <w:t>建设原则和策略</w:t>
          </w:r>
          <w:r>
            <w:rPr>
              <w:rFonts w:hint="eastAsia"/>
            </w:rPr>
            <w:tab/>
          </w:r>
          <w:r>
            <w:rPr>
              <w:rFonts w:hint="eastAsia"/>
            </w:rPr>
            <w:fldChar w:fldCharType="begin"/>
          </w:r>
          <w:r>
            <w:rPr>
              <w:rFonts w:hint="eastAsia"/>
            </w:rPr>
            <w:instrText xml:space="preserve"> </w:instrText>
          </w:r>
          <w:r>
            <w:instrText xml:space="preserve">PAGEREF _Toc176428593 \h</w:instrText>
          </w:r>
          <w:r>
            <w:rPr>
              <w:rFonts w:hint="eastAsia"/>
            </w:rPr>
            <w:instrText xml:space="preserve"> </w:instrText>
          </w:r>
          <w:r>
            <w:rPr>
              <w:rFonts w:hint="eastAsia"/>
            </w:rPr>
            <w:fldChar w:fldCharType="separate"/>
          </w:r>
          <w:r>
            <w:rPr>
              <w:rFonts w:hint="eastAsia"/>
            </w:rPr>
            <w:t>15</w:t>
          </w:r>
          <w:r>
            <w:rPr>
              <w:rFonts w:hint="eastAsia"/>
            </w:rPr>
            <w:fldChar w:fldCharType="end"/>
          </w:r>
          <w:r>
            <w:rPr>
              <w:rFonts w:hint="eastAsia"/>
            </w:rPr>
            <w:fldChar w:fldCharType="end"/>
          </w:r>
        </w:p>
        <w:p w14:paraId="2CA93113">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"_Toc176428594" </w:instrText>
          </w:r>
          <w:r>
            <w:fldChar w:fldCharType="separate"/>
          </w:r>
          <w:r>
            <w:rPr>
              <w:rStyle w:val="23"/>
              <w:rFonts w:hint="eastAsia"/>
            </w:rPr>
            <w:t>5.2.</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项目建设目标</w:t>
          </w:r>
          <w:r>
            <w:rPr>
              <w:rFonts w:hint="eastAsia"/>
            </w:rPr>
            <w:tab/>
          </w:r>
          <w:r>
            <w:rPr>
              <w:rFonts w:hint="eastAsia"/>
            </w:rPr>
            <w:fldChar w:fldCharType="begin"/>
          </w:r>
          <w:r>
            <w:rPr>
              <w:rFonts w:hint="eastAsia"/>
            </w:rPr>
            <w:instrText xml:space="preserve"> </w:instrText>
          </w:r>
          <w:r>
            <w:instrText xml:space="preserve">PAGEREF _Toc176428594 \h</w:instrText>
          </w:r>
          <w:r>
            <w:rPr>
              <w:rFonts w:hint="eastAsia"/>
            </w:rPr>
            <w:instrText xml:space="preserve"> </w:instrText>
          </w:r>
          <w:r>
            <w:rPr>
              <w:rFonts w:hint="eastAsia"/>
            </w:rPr>
            <w:fldChar w:fldCharType="separate"/>
          </w:r>
          <w:r>
            <w:rPr>
              <w:rFonts w:hint="eastAsia"/>
            </w:rPr>
            <w:t>15</w:t>
          </w:r>
          <w:r>
            <w:rPr>
              <w:rFonts w:hint="eastAsia"/>
            </w:rPr>
            <w:fldChar w:fldCharType="end"/>
          </w:r>
          <w:r>
            <w:rPr>
              <w:rFonts w:hint="eastAsia"/>
            </w:rPr>
            <w:fldChar w:fldCharType="end"/>
          </w:r>
        </w:p>
        <w:p w14:paraId="5755EFB8">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"_Toc176428595" </w:instrText>
          </w:r>
          <w:r>
            <w:fldChar w:fldCharType="separate"/>
          </w:r>
          <w:r>
            <w:rPr>
              <w:rStyle w:val="23"/>
              <w:rFonts w:hint="eastAsia"/>
            </w:rPr>
            <w:t>5.3.</w:t>
          </w:r>
          <w:r>
            <w:rPr>
              <w:rFonts w:hint="eastAsia" w:asciiTheme="minorHAnsi" w:hAnsiTheme="minorHAnsi" w:eastAsiaTheme="minorEastAsia" w:cstheme="minorBidi"/>
              <w:spacing w:val="0"/>
              <w:sz w:val="21"/>
              <w:szCs w:val="22"/>
              <w14:ligatures w14:val="standardContextual"/>
            </w:rPr>
            <w:tab/>
          </w:r>
          <w:r>
            <w:rPr>
              <w:rStyle w:val="23"/>
              <w:rFonts w:hint="eastAsia"/>
            </w:rPr>
            <w:t>国内外网络安全等级保护评测技术对比</w:t>
          </w:r>
          <w:r>
            <w:rPr>
              <w:rFonts w:hint="eastAsia"/>
            </w:rPr>
            <w:tab/>
          </w:r>
          <w:r>
            <w:rPr>
              <w:rFonts w:hint="eastAsia"/>
            </w:rPr>
            <w:fldChar w:fldCharType="begin"/>
          </w:r>
          <w:r>
            <w:rPr>
              <w:rFonts w:hint="eastAsia"/>
            </w:rPr>
            <w:instrText xml:space="preserve"> </w:instrText>
          </w:r>
          <w:r>
            <w:instrText xml:space="preserve">PAGEREF _Toc176428595 \h</w:instrText>
          </w:r>
          <w:r>
            <w:rPr>
              <w:rFonts w:hint="eastAsia"/>
            </w:rPr>
            <w:instrText xml:space="preserve"> </w:instrText>
          </w:r>
          <w:r>
            <w:rPr>
              <w:rFonts w:hint="eastAsia"/>
            </w:rPr>
            <w:fldChar w:fldCharType="separate"/>
          </w:r>
          <w:r>
            <w:rPr>
              <w:rFonts w:hint="eastAsia"/>
            </w:rPr>
            <w:t>15</w:t>
          </w:r>
          <w:r>
            <w:rPr>
              <w:rFonts w:hint="eastAsia"/>
            </w:rPr>
            <w:fldChar w:fldCharType="end"/>
          </w:r>
          <w:r>
            <w:rPr>
              <w:rFonts w:hint="eastAsia"/>
            </w:rPr>
            <w:fldChar w:fldCharType="end"/>
          </w:r>
        </w:p>
        <w:p w14:paraId="2A6974C2">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"_Toc176428596" </w:instrText>
          </w:r>
          <w:r>
            <w:fldChar w:fldCharType="separate"/>
          </w:r>
          <w:r>
            <w:rPr>
              <w:rStyle w:val="23"/>
              <w:rFonts w:hint="eastAsia"/>
            </w:rPr>
            <w:t>5.4.</w:t>
          </w:r>
          <w:r>
            <w:rPr>
              <w:rFonts w:hint="eastAsia" w:asciiTheme="minorHAnsi" w:hAnsiTheme="minorHAnsi" w:eastAsiaTheme="minorEastAsia" w:cstheme="minorBidi"/>
              <w:spacing w:val="0"/>
              <w:sz w:val="21"/>
              <w:szCs w:val="22"/>
              <w14:ligatures w14:val="standardContextual"/>
            </w:rPr>
            <w:tab/>
          </w:r>
          <w:r>
            <w:rPr>
              <w:rStyle w:val="23"/>
              <w:rFonts w:hint="eastAsia"/>
            </w:rPr>
            <w:t>技术方案</w:t>
          </w:r>
          <w:r>
            <w:rPr>
              <w:rFonts w:hint="eastAsia"/>
            </w:rPr>
            <w:tab/>
          </w:r>
          <w:r>
            <w:rPr>
              <w:rFonts w:hint="eastAsia"/>
            </w:rPr>
            <w:fldChar w:fldCharType="begin"/>
          </w:r>
          <w:r>
            <w:rPr>
              <w:rFonts w:hint="eastAsia"/>
            </w:rPr>
            <w:instrText xml:space="preserve"> </w:instrText>
          </w:r>
          <w:r>
            <w:instrText xml:space="preserve">PAGEREF _Toc176428596 \h</w:instrText>
          </w:r>
          <w:r>
            <w:rPr>
              <w:rFonts w:hint="eastAsia"/>
            </w:rPr>
            <w:instrText xml:space="preserve"> </w:instrText>
          </w:r>
          <w:r>
            <w:rPr>
              <w:rFonts w:hint="eastAsia"/>
            </w:rPr>
            <w:fldChar w:fldCharType="separate"/>
          </w:r>
          <w:r>
            <w:rPr>
              <w:rFonts w:hint="eastAsia"/>
            </w:rPr>
            <w:t>15</w:t>
          </w:r>
          <w:r>
            <w:rPr>
              <w:rFonts w:hint="eastAsia"/>
            </w:rPr>
            <w:fldChar w:fldCharType="end"/>
          </w:r>
          <w:r>
            <w:rPr>
              <w:rFonts w:hint="eastAsia"/>
            </w:rPr>
            <w:fldChar w:fldCharType="end"/>
          </w:r>
        </w:p>
        <w:p w14:paraId="5B5E3933">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"_Toc176428597" </w:instrText>
          </w:r>
          <w:r>
            <w:fldChar w:fldCharType="separate"/>
          </w:r>
          <w:r>
            <w:rPr>
              <w:rStyle w:val="23"/>
              <w:rFonts w:hint="eastAsia"/>
            </w:rPr>
            <w:t>6.</w:t>
          </w:r>
          <w:r>
            <w:rPr>
              <w:rFonts w:hint="eastAsia" w:asciiTheme="minorHAnsi" w:hAnsiTheme="minorHAnsi" w:eastAsiaTheme="minorEastAsia" w:cstheme="minorBidi"/>
              <w:spacing w:val="0"/>
              <w:sz w:val="21"/>
              <w:szCs w:val="22"/>
              <w14:ligatures w14:val="standardContextual"/>
            </w:rPr>
            <w:tab/>
          </w:r>
          <w:r>
            <w:rPr>
              <w:rStyle w:val="23"/>
              <w:rFonts w:hint="eastAsia"/>
            </w:rPr>
            <w:t>环保、消防、职业安全、职业卫生和节能</w:t>
          </w:r>
          <w:r>
            <w:rPr>
              <w:rFonts w:hint="eastAsia"/>
            </w:rPr>
            <w:tab/>
          </w:r>
          <w:r>
            <w:rPr>
              <w:rFonts w:hint="eastAsia"/>
            </w:rPr>
            <w:fldChar w:fldCharType="begin"/>
          </w:r>
          <w:r>
            <w:rPr>
              <w:rFonts w:hint="eastAsia"/>
            </w:rPr>
            <w:instrText xml:space="preserve"> </w:instrText>
          </w:r>
          <w:r>
            <w:instrText xml:space="preserve">PAGEREF _Toc176428597 \h</w:instrText>
          </w:r>
          <w:r>
            <w:rPr>
              <w:rFonts w:hint="eastAsia"/>
            </w:rPr>
            <w:instrText xml:space="preserve"> </w:instrText>
          </w:r>
          <w:r>
            <w:rPr>
              <w:rFonts w:hint="eastAsia"/>
            </w:rPr>
            <w:fldChar w:fldCharType="separate"/>
          </w:r>
          <w:r>
            <w:rPr>
              <w:rFonts w:hint="eastAsia"/>
            </w:rPr>
            <w:t>22</w:t>
          </w:r>
          <w:r>
            <w:rPr>
              <w:rFonts w:hint="eastAsia"/>
            </w:rPr>
            <w:fldChar w:fldCharType="end"/>
          </w:r>
          <w:r>
            <w:rPr>
              <w:rFonts w:hint="eastAsia"/>
            </w:rPr>
            <w:fldChar w:fldCharType="end"/>
          </w:r>
        </w:p>
        <w:p w14:paraId="40574B86">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"_Toc176428598" </w:instrText>
          </w:r>
          <w:r>
            <w:fldChar w:fldCharType="separate"/>
          </w:r>
          <w:r>
            <w:rPr>
              <w:rStyle w:val="23"/>
              <w:rFonts w:hint="eastAsia"/>
            </w:rPr>
            <w:t>6.1.</w:t>
          </w:r>
          <w:r>
            <w:rPr>
              <w:rFonts w:hint="eastAsia" w:asciiTheme="minorHAnsi" w:hAnsiTheme="minorHAnsi" w:eastAsiaTheme="minorEastAsia" w:cstheme="minorBidi"/>
              <w:spacing w:val="0"/>
              <w:sz w:val="21"/>
              <w:szCs w:val="22"/>
              <w14:ligatures w14:val="standardContextual"/>
            </w:rPr>
            <w:tab/>
          </w:r>
          <w:r>
            <w:rPr>
              <w:rStyle w:val="23"/>
              <w:rFonts w:hint="eastAsia"/>
            </w:rPr>
            <w:t>环境影响和环保措施</w:t>
          </w:r>
          <w:r>
            <w:rPr>
              <w:rFonts w:hint="eastAsia"/>
            </w:rPr>
            <w:tab/>
          </w:r>
          <w:r>
            <w:rPr>
              <w:rFonts w:hint="eastAsia"/>
            </w:rPr>
            <w:fldChar w:fldCharType="begin"/>
          </w:r>
          <w:r>
            <w:rPr>
              <w:rFonts w:hint="eastAsia"/>
            </w:rPr>
            <w:instrText xml:space="preserve"> </w:instrText>
          </w:r>
          <w:r>
            <w:instrText xml:space="preserve">PAGEREF _Toc176428598 \h</w:instrText>
          </w:r>
          <w:r>
            <w:rPr>
              <w:rFonts w:hint="eastAsia"/>
            </w:rPr>
            <w:instrText xml:space="preserve"> </w:instrText>
          </w:r>
          <w:r>
            <w:rPr>
              <w:rFonts w:hint="eastAsia"/>
            </w:rPr>
            <w:fldChar w:fldCharType="separate"/>
          </w:r>
          <w:r>
            <w:rPr>
              <w:rFonts w:hint="eastAsia"/>
            </w:rPr>
            <w:t>22</w:t>
          </w:r>
          <w:r>
            <w:rPr>
              <w:rFonts w:hint="eastAsia"/>
            </w:rPr>
            <w:fldChar w:fldCharType="end"/>
          </w:r>
          <w:r>
            <w:rPr>
              <w:rFonts w:hint="eastAsia"/>
            </w:rPr>
            <w:fldChar w:fldCharType="end"/>
          </w:r>
        </w:p>
        <w:p w14:paraId="7E8347CF">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"_Toc176428599" </w:instrText>
          </w:r>
          <w:r>
            <w:fldChar w:fldCharType="separate"/>
          </w:r>
          <w:r>
            <w:rPr>
              <w:rStyle w:val="23"/>
              <w:rFonts w:hint="eastAsia"/>
            </w:rPr>
            <w:t>6.2.</w:t>
          </w:r>
          <w:r>
            <w:rPr>
              <w:rFonts w:hint="eastAsia" w:asciiTheme="minorHAnsi" w:hAnsiTheme="minorHAnsi" w:eastAsiaTheme="minorEastAsia" w:cstheme="minorBidi"/>
              <w:spacing w:val="0"/>
              <w:sz w:val="21"/>
              <w:szCs w:val="22"/>
              <w14:ligatures w14:val="standardContextual"/>
            </w:rPr>
            <w:tab/>
          </w:r>
          <w:r>
            <w:rPr>
              <w:rStyle w:val="23"/>
              <w:rFonts w:hint="eastAsia"/>
            </w:rPr>
            <w:t>消防措施</w:t>
          </w:r>
          <w:r>
            <w:rPr>
              <w:rFonts w:hint="eastAsia"/>
            </w:rPr>
            <w:tab/>
          </w:r>
          <w:r>
            <w:rPr>
              <w:rFonts w:hint="eastAsia"/>
            </w:rPr>
            <w:fldChar w:fldCharType="begin"/>
          </w:r>
          <w:r>
            <w:rPr>
              <w:rFonts w:hint="eastAsia"/>
            </w:rPr>
            <w:instrText xml:space="preserve"> </w:instrText>
          </w:r>
          <w:r>
            <w:instrText xml:space="preserve">PAGEREF _Toc176428599 \h</w:instrText>
          </w:r>
          <w:r>
            <w:rPr>
              <w:rFonts w:hint="eastAsia"/>
            </w:rPr>
            <w:instrText xml:space="preserve"> </w:instrText>
          </w:r>
          <w:r>
            <w:rPr>
              <w:rFonts w:hint="eastAsia"/>
            </w:rPr>
            <w:fldChar w:fldCharType="separate"/>
          </w:r>
          <w:r>
            <w:rPr>
              <w:rFonts w:hint="eastAsia"/>
            </w:rPr>
            <w:t>22</w:t>
          </w:r>
          <w:r>
            <w:rPr>
              <w:rFonts w:hint="eastAsia"/>
            </w:rPr>
            <w:fldChar w:fldCharType="end"/>
          </w:r>
          <w:r>
            <w:rPr>
              <w:rFonts w:hint="eastAsia"/>
            </w:rPr>
            <w:fldChar w:fldCharType="end"/>
          </w:r>
        </w:p>
        <w:p w14:paraId="2770DFC8">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"_Toc176428600" </w:instrText>
          </w:r>
          <w:r>
            <w:fldChar w:fldCharType="separate"/>
          </w:r>
          <w:r>
            <w:rPr>
              <w:rStyle w:val="23"/>
              <w:rFonts w:hint="eastAsia"/>
            </w:rPr>
            <w:t>6.3.</w:t>
          </w:r>
          <w:r>
            <w:rPr>
              <w:rFonts w:hint="eastAsia" w:asciiTheme="minorHAnsi" w:hAnsiTheme="minorHAnsi" w:eastAsiaTheme="minorEastAsia" w:cstheme="minorBidi"/>
              <w:spacing w:val="0"/>
              <w:sz w:val="21"/>
              <w:szCs w:val="22"/>
              <w14:ligatures w14:val="standardContextual"/>
            </w:rPr>
            <w:tab/>
          </w:r>
          <w:r>
            <w:rPr>
              <w:rStyle w:val="23"/>
              <w:rFonts w:hint="eastAsia"/>
            </w:rPr>
            <w:t>职业安全和卫生措施</w:t>
          </w:r>
          <w:r>
            <w:rPr>
              <w:rFonts w:hint="eastAsia"/>
            </w:rPr>
            <w:tab/>
          </w:r>
          <w:r>
            <w:rPr>
              <w:rFonts w:hint="eastAsia"/>
            </w:rPr>
            <w:fldChar w:fldCharType="begin"/>
          </w:r>
          <w:r>
            <w:rPr>
              <w:rFonts w:hint="eastAsia"/>
            </w:rPr>
            <w:instrText xml:space="preserve"> </w:instrText>
          </w:r>
          <w:r>
            <w:instrText xml:space="preserve">PAGEREF _Toc176428600 \h</w:instrText>
          </w:r>
          <w:r>
            <w:rPr>
              <w:rFonts w:hint="eastAsia"/>
            </w:rPr>
            <w:instrText xml:space="preserve"> </w:instrText>
          </w:r>
          <w:r>
            <w:rPr>
              <w:rFonts w:hint="eastAsia"/>
            </w:rPr>
            <w:fldChar w:fldCharType="separate"/>
          </w:r>
          <w:r>
            <w:rPr>
              <w:rFonts w:hint="eastAsia"/>
            </w:rPr>
            <w:t>22</w:t>
          </w:r>
          <w:r>
            <w:rPr>
              <w:rFonts w:hint="eastAsia"/>
            </w:rPr>
            <w:fldChar w:fldCharType="end"/>
          </w:r>
          <w:r>
            <w:rPr>
              <w:rFonts w:hint="eastAsia"/>
            </w:rPr>
            <w:fldChar w:fldCharType="end"/>
          </w:r>
        </w:p>
        <w:p w14:paraId="7992FB0A">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"_Toc176428601" </w:instrText>
          </w:r>
          <w:r>
            <w:fldChar w:fldCharType="separate"/>
          </w:r>
          <w:r>
            <w:rPr>
              <w:rStyle w:val="23"/>
              <w:rFonts w:hint="eastAsia"/>
            </w:rPr>
            <w:t>6.4.</w:t>
          </w:r>
          <w:r>
            <w:rPr>
              <w:rFonts w:hint="eastAsia" w:asciiTheme="minorHAnsi" w:hAnsiTheme="minorHAnsi" w:eastAsiaTheme="minorEastAsia" w:cstheme="minorBidi"/>
              <w:spacing w:val="0"/>
              <w:sz w:val="21"/>
              <w:szCs w:val="22"/>
              <w14:ligatures w14:val="standardContextual"/>
            </w:rPr>
            <w:tab/>
          </w:r>
          <w:r>
            <w:rPr>
              <w:rStyle w:val="23"/>
              <w:rFonts w:hint="eastAsia"/>
            </w:rPr>
            <w:t>节能目标及措施</w:t>
          </w:r>
          <w:r>
            <w:rPr>
              <w:rFonts w:hint="eastAsia"/>
            </w:rPr>
            <w:tab/>
          </w:r>
          <w:r>
            <w:rPr>
              <w:rFonts w:hint="eastAsia"/>
            </w:rPr>
            <w:fldChar w:fldCharType="begin"/>
          </w:r>
          <w:r>
            <w:rPr>
              <w:rFonts w:hint="eastAsia"/>
            </w:rPr>
            <w:instrText xml:space="preserve"> </w:instrText>
          </w:r>
          <w:r>
            <w:instrText xml:space="preserve">PAGEREF _Toc176428601 \h</w:instrText>
          </w:r>
          <w:r>
            <w:rPr>
              <w:rFonts w:hint="eastAsia"/>
            </w:rPr>
            <w:instrText xml:space="preserve"> </w:instrText>
          </w:r>
          <w:r>
            <w:rPr>
              <w:rFonts w:hint="eastAsia"/>
            </w:rPr>
            <w:fldChar w:fldCharType="separate"/>
          </w:r>
          <w:r>
            <w:rPr>
              <w:rFonts w:hint="eastAsia"/>
            </w:rPr>
            <w:t>23</w:t>
          </w:r>
          <w:r>
            <w:rPr>
              <w:rFonts w:hint="eastAsia"/>
            </w:rPr>
            <w:fldChar w:fldCharType="end"/>
          </w:r>
          <w:r>
            <w:rPr>
              <w:rFonts w:hint="eastAsia"/>
            </w:rPr>
            <w:fldChar w:fldCharType="end"/>
          </w:r>
        </w:p>
        <w:p w14:paraId="60B0EA27">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"_Toc176428602" </w:instrText>
          </w:r>
          <w:r>
            <w:fldChar w:fldCharType="separate"/>
          </w:r>
          <w:r>
            <w:rPr>
              <w:rStyle w:val="23"/>
              <w:rFonts w:hint="eastAsia"/>
            </w:rPr>
            <w:t>7.</w:t>
          </w:r>
          <w:r>
            <w:rPr>
              <w:rFonts w:hint="eastAsia" w:asciiTheme="minorHAnsi" w:hAnsiTheme="minorHAnsi" w:eastAsiaTheme="minorEastAsia" w:cstheme="minorBidi"/>
              <w:spacing w:val="0"/>
              <w:sz w:val="21"/>
              <w:szCs w:val="22"/>
              <w14:ligatures w14:val="standardContextual"/>
            </w:rPr>
            <w:tab/>
          </w:r>
          <w:r>
            <w:rPr>
              <w:rStyle w:val="23"/>
              <w:rFonts w:hint="eastAsia"/>
            </w:rPr>
            <w:t>项目实施进度</w:t>
          </w:r>
          <w:r>
            <w:rPr>
              <w:rFonts w:hint="eastAsia"/>
            </w:rPr>
            <w:tab/>
          </w:r>
          <w:r>
            <w:rPr>
              <w:rFonts w:hint="eastAsia"/>
            </w:rPr>
            <w:fldChar w:fldCharType="begin"/>
          </w:r>
          <w:r>
            <w:rPr>
              <w:rFonts w:hint="eastAsia"/>
            </w:rPr>
            <w:instrText xml:space="preserve"> </w:instrText>
          </w:r>
          <w:r>
            <w:instrText xml:space="preserve">PAGEREF _Toc176428602 \h</w:instrText>
          </w:r>
          <w:r>
            <w:rPr>
              <w:rFonts w:hint="eastAsia"/>
            </w:rPr>
            <w:instrText xml:space="preserve"> </w:instrText>
          </w:r>
          <w:r>
            <w:rPr>
              <w:rFonts w:hint="eastAsia"/>
            </w:rPr>
            <w:fldChar w:fldCharType="separate"/>
          </w:r>
          <w:r>
            <w:rPr>
              <w:rFonts w:hint="eastAsia"/>
            </w:rPr>
            <w:t>24</w:t>
          </w:r>
          <w:r>
            <w:rPr>
              <w:rFonts w:hint="eastAsia"/>
            </w:rPr>
            <w:fldChar w:fldCharType="end"/>
          </w:r>
          <w:r>
            <w:rPr>
              <w:rFonts w:hint="eastAsia"/>
            </w:rPr>
            <w:fldChar w:fldCharType="end"/>
          </w:r>
        </w:p>
        <w:p w14:paraId="5FAB7BEF">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"_Toc176428603" </w:instrText>
          </w:r>
          <w:r>
            <w:fldChar w:fldCharType="separate"/>
          </w:r>
          <w:r>
            <w:rPr>
              <w:rStyle w:val="23"/>
              <w:rFonts w:hint="eastAsia"/>
            </w:rPr>
            <w:t>8.</w:t>
          </w:r>
          <w:r>
            <w:rPr>
              <w:rFonts w:hint="eastAsia" w:asciiTheme="minorHAnsi" w:hAnsiTheme="minorHAnsi" w:eastAsiaTheme="minorEastAsia" w:cstheme="minorBidi"/>
              <w:spacing w:val="0"/>
              <w:sz w:val="21"/>
              <w:szCs w:val="22"/>
              <w14:ligatures w14:val="standardContextual"/>
            </w:rPr>
            <w:tab/>
          </w:r>
          <w:r>
            <w:rPr>
              <w:rStyle w:val="23"/>
              <w:rFonts w:hint="eastAsia"/>
            </w:rPr>
            <w:t>项目风险分析</w:t>
          </w:r>
          <w:r>
            <w:rPr>
              <w:rFonts w:hint="eastAsia"/>
            </w:rPr>
            <w:tab/>
          </w:r>
          <w:r>
            <w:rPr>
              <w:rFonts w:hint="eastAsia"/>
            </w:rPr>
            <w:fldChar w:fldCharType="begin"/>
          </w:r>
          <w:r>
            <w:rPr>
              <w:rFonts w:hint="eastAsia"/>
            </w:rPr>
            <w:instrText xml:space="preserve"> </w:instrText>
          </w:r>
          <w:r>
            <w:instrText xml:space="preserve">PAGEREF _Toc176428603 \h</w:instrText>
          </w:r>
          <w:r>
            <w:rPr>
              <w:rFonts w:hint="eastAsia"/>
            </w:rPr>
            <w:instrText xml:space="preserve"> </w:instrText>
          </w:r>
          <w:r>
            <w:rPr>
              <w:rFonts w:hint="eastAsia"/>
            </w:rPr>
            <w:fldChar w:fldCharType="separate"/>
          </w:r>
          <w:r>
            <w:rPr>
              <w:rFonts w:hint="eastAsia"/>
            </w:rPr>
            <w:t>25</w:t>
          </w:r>
          <w:r>
            <w:rPr>
              <w:rFonts w:hint="eastAsia"/>
            </w:rPr>
            <w:fldChar w:fldCharType="end"/>
          </w:r>
          <w:r>
            <w:rPr>
              <w:rFonts w:hint="eastAsia"/>
            </w:rPr>
            <w:fldChar w:fldCharType="end"/>
          </w:r>
        </w:p>
        <w:p w14:paraId="3C3D80FD">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"_Toc176428604" </w:instrText>
          </w:r>
          <w:r>
            <w:fldChar w:fldCharType="separate"/>
          </w:r>
          <w:r>
            <w:rPr>
              <w:rStyle w:val="23"/>
              <w:rFonts w:hint="eastAsia"/>
            </w:rPr>
            <w:t>8.1.</w:t>
          </w:r>
          <w:r>
            <w:rPr>
              <w:rFonts w:hint="eastAsia" w:asciiTheme="minorHAnsi" w:hAnsiTheme="minorHAnsi" w:eastAsiaTheme="minorEastAsia" w:cstheme="minorBidi"/>
              <w:spacing w:val="0"/>
              <w:sz w:val="21"/>
              <w:szCs w:val="22"/>
              <w14:ligatures w14:val="standardContextual"/>
            </w:rPr>
            <w:tab/>
          </w:r>
          <w:r>
            <w:rPr>
              <w:rStyle w:val="23"/>
              <w:rFonts w:hint="eastAsia"/>
            </w:rPr>
            <w:t>协调风险及控制</w:t>
          </w:r>
          <w:r>
            <w:rPr>
              <w:rFonts w:hint="eastAsia"/>
            </w:rPr>
            <w:tab/>
          </w:r>
          <w:r>
            <w:rPr>
              <w:rFonts w:hint="eastAsia"/>
            </w:rPr>
            <w:fldChar w:fldCharType="begin"/>
          </w:r>
          <w:r>
            <w:rPr>
              <w:rFonts w:hint="eastAsia"/>
            </w:rPr>
            <w:instrText xml:space="preserve"> </w:instrText>
          </w:r>
          <w:r>
            <w:instrText xml:space="preserve">PAGEREF _Toc176428604 \h</w:instrText>
          </w:r>
          <w:r>
            <w:rPr>
              <w:rFonts w:hint="eastAsia"/>
            </w:rPr>
            <w:instrText xml:space="preserve"> </w:instrText>
          </w:r>
          <w:r>
            <w:rPr>
              <w:rFonts w:hint="eastAsia"/>
            </w:rPr>
            <w:fldChar w:fldCharType="separate"/>
          </w:r>
          <w:r>
            <w:rPr>
              <w:rFonts w:hint="eastAsia"/>
            </w:rPr>
            <w:t>25</w:t>
          </w:r>
          <w:r>
            <w:rPr>
              <w:rFonts w:hint="eastAsia"/>
            </w:rPr>
            <w:fldChar w:fldCharType="end"/>
          </w:r>
          <w:r>
            <w:rPr>
              <w:rFonts w:hint="eastAsia"/>
            </w:rPr>
            <w:fldChar w:fldCharType="end"/>
          </w:r>
        </w:p>
        <w:p w14:paraId="4230757C">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"_Toc176428605" </w:instrText>
          </w:r>
          <w:r>
            <w:fldChar w:fldCharType="separate"/>
          </w:r>
          <w:r>
            <w:rPr>
              <w:rStyle w:val="23"/>
              <w:rFonts w:hint="eastAsia"/>
            </w:rPr>
            <w:t>8.2.</w:t>
          </w:r>
          <w:r>
            <w:rPr>
              <w:rFonts w:hint="eastAsia" w:asciiTheme="minorHAnsi" w:hAnsiTheme="minorHAnsi" w:eastAsiaTheme="minorEastAsia" w:cstheme="minorBidi"/>
              <w:spacing w:val="0"/>
              <w:sz w:val="21"/>
              <w:szCs w:val="22"/>
              <w14:ligatures w14:val="standardContextual"/>
            </w:rPr>
            <w:tab/>
          </w:r>
          <w:r>
            <w:rPr>
              <w:rStyle w:val="23"/>
              <w:rFonts w:hint="eastAsia"/>
            </w:rPr>
            <w:t>项目技术风险控制</w:t>
          </w:r>
          <w:r>
            <w:rPr>
              <w:rFonts w:hint="eastAsia"/>
            </w:rPr>
            <w:tab/>
          </w:r>
          <w:r>
            <w:rPr>
              <w:rFonts w:hint="eastAsia"/>
            </w:rPr>
            <w:fldChar w:fldCharType="begin"/>
          </w:r>
          <w:r>
            <w:rPr>
              <w:rFonts w:hint="eastAsia"/>
            </w:rPr>
            <w:instrText xml:space="preserve"> </w:instrText>
          </w:r>
          <w:r>
            <w:instrText xml:space="preserve">PAGEREF _Toc176428605 \h</w:instrText>
          </w:r>
          <w:r>
            <w:rPr>
              <w:rFonts w:hint="eastAsia"/>
            </w:rPr>
            <w:instrText xml:space="preserve"> </w:instrText>
          </w:r>
          <w:r>
            <w:rPr>
              <w:rFonts w:hint="eastAsia"/>
            </w:rPr>
            <w:fldChar w:fldCharType="separate"/>
          </w:r>
          <w:r>
            <w:rPr>
              <w:rFonts w:hint="eastAsia"/>
            </w:rPr>
            <w:t>25</w:t>
          </w:r>
          <w:r>
            <w:rPr>
              <w:rFonts w:hint="eastAsia"/>
            </w:rPr>
            <w:fldChar w:fldCharType="end"/>
          </w:r>
          <w:r>
            <w:rPr>
              <w:rFonts w:hint="eastAsia"/>
            </w:rPr>
            <w:fldChar w:fldCharType="end"/>
          </w:r>
        </w:p>
        <w:p w14:paraId="4398295A">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"_Toc176428606" </w:instrText>
          </w:r>
          <w:r>
            <w:fldChar w:fldCharType="separate"/>
          </w:r>
          <w:r>
            <w:rPr>
              <w:rStyle w:val="23"/>
              <w:rFonts w:hint="eastAsia"/>
            </w:rPr>
            <w:t>8.3.</w:t>
          </w:r>
          <w:r>
            <w:rPr>
              <w:rFonts w:hint="eastAsia" w:asciiTheme="minorHAnsi" w:hAnsiTheme="minorHAnsi" w:eastAsiaTheme="minorEastAsia" w:cstheme="minorBidi"/>
              <w:spacing w:val="0"/>
              <w:sz w:val="21"/>
              <w:szCs w:val="22"/>
              <w14:ligatures w14:val="standardContextual"/>
            </w:rPr>
            <w:tab/>
          </w:r>
          <w:r>
            <w:rPr>
              <w:rStyle w:val="23"/>
              <w:rFonts w:hint="eastAsia"/>
            </w:rPr>
            <w:t>社会影响风险及控制</w:t>
          </w:r>
          <w:r>
            <w:rPr>
              <w:rFonts w:hint="eastAsia"/>
            </w:rPr>
            <w:tab/>
          </w:r>
          <w:r>
            <w:rPr>
              <w:rFonts w:hint="eastAsia"/>
            </w:rPr>
            <w:fldChar w:fldCharType="begin"/>
          </w:r>
          <w:r>
            <w:rPr>
              <w:rFonts w:hint="eastAsia"/>
            </w:rPr>
            <w:instrText xml:space="preserve"> </w:instrText>
          </w:r>
          <w:r>
            <w:instrText xml:space="preserve">PAGEREF _Toc176428606 \h</w:instrText>
          </w:r>
          <w:r>
            <w:rPr>
              <w:rFonts w:hint="eastAsia"/>
            </w:rPr>
            <w:instrText xml:space="preserve"> </w:instrText>
          </w:r>
          <w:r>
            <w:rPr>
              <w:rFonts w:hint="eastAsia"/>
            </w:rPr>
            <w:fldChar w:fldCharType="separate"/>
          </w:r>
          <w:r>
            <w:rPr>
              <w:rFonts w:hint="eastAsia"/>
            </w:rPr>
            <w:t>25</w:t>
          </w:r>
          <w:r>
            <w:rPr>
              <w:rFonts w:hint="eastAsia"/>
            </w:rPr>
            <w:fldChar w:fldCharType="end"/>
          </w:r>
          <w:r>
            <w:rPr>
              <w:rFonts w:hint="eastAsia"/>
            </w:rPr>
            <w:fldChar w:fldCharType="end"/>
          </w:r>
        </w:p>
        <w:p w14:paraId="4DAEFA16">
          <w:pPr>
            <w:pStyle w:val="17"/>
            <w:tabs>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"_Toc176428607" </w:instrText>
          </w:r>
          <w:r>
            <w:fldChar w:fldCharType="separate"/>
          </w:r>
          <w:r>
            <w:rPr>
              <w:rStyle w:val="23"/>
              <w:rFonts w:hint="eastAsia"/>
            </w:rPr>
            <w:t>附表1：项目软件配置清单及预算</w:t>
          </w:r>
          <w:r>
            <w:rPr>
              <w:rFonts w:hint="eastAsia"/>
            </w:rPr>
            <w:tab/>
          </w:r>
          <w:r>
            <w:rPr>
              <w:rFonts w:hint="eastAsia"/>
            </w:rPr>
            <w:fldChar w:fldCharType="begin"/>
          </w:r>
          <w:r>
            <w:rPr>
              <w:rFonts w:hint="eastAsia"/>
            </w:rPr>
            <w:instrText xml:space="preserve"> </w:instrText>
          </w:r>
          <w:r>
            <w:instrText xml:space="preserve">PAGEREF _Toc176428607 \h</w:instrText>
          </w:r>
          <w:r>
            <w:rPr>
              <w:rFonts w:hint="eastAsia"/>
            </w:rPr>
            <w:instrText xml:space="preserve"> </w:instrText>
          </w:r>
          <w:r>
            <w:rPr>
              <w:rFonts w:hint="eastAsia"/>
            </w:rPr>
            <w:fldChar w:fldCharType="separate"/>
          </w:r>
          <w:r>
            <w:rPr>
              <w:rFonts w:hint="eastAsia"/>
            </w:rPr>
            <w:t>27</w:t>
          </w:r>
          <w:r>
            <w:rPr>
              <w:rFonts w:hint="eastAsia"/>
            </w:rPr>
            <w:fldChar w:fldCharType="end"/>
          </w:r>
          <w:r>
            <w:rPr>
              <w:rFonts w:hint="eastAsia"/>
            </w:rPr>
            <w:fldChar w:fldCharType="end"/>
          </w:r>
        </w:p>
        <w:p w14:paraId="26845DEF">
          <w:pPr>
            <w:pStyle w:val="17"/>
            <w:tabs>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"_Toc176428608" </w:instrText>
          </w:r>
          <w:r>
            <w:fldChar w:fldCharType="separate"/>
          </w:r>
          <w:r>
            <w:rPr>
              <w:rStyle w:val="23"/>
              <w:rFonts w:hint="eastAsia"/>
            </w:rPr>
            <w:t>附表2：项目详细配置清单</w:t>
          </w:r>
          <w:r>
            <w:rPr>
              <w:rFonts w:hint="eastAsia"/>
            </w:rPr>
            <w:tab/>
          </w:r>
          <w:r>
            <w:rPr>
              <w:rFonts w:hint="eastAsia"/>
            </w:rPr>
            <w:fldChar w:fldCharType="begin"/>
          </w:r>
          <w:r>
            <w:rPr>
              <w:rFonts w:hint="eastAsia"/>
            </w:rPr>
            <w:instrText xml:space="preserve"> </w:instrText>
          </w:r>
          <w:r>
            <w:instrText xml:space="preserve">PAGEREF _Toc176428608 \h</w:instrText>
          </w:r>
          <w:r>
            <w:rPr>
              <w:rFonts w:hint="eastAsia"/>
            </w:rPr>
            <w:instrText xml:space="preserve"> </w:instrText>
          </w:r>
          <w:r>
            <w:rPr>
              <w:rFonts w:hint="eastAsia"/>
            </w:rPr>
            <w:fldChar w:fldCharType="separate"/>
          </w:r>
          <w:r>
            <w:rPr>
              <w:rFonts w:hint="eastAsia"/>
            </w:rPr>
            <w:t>28</w:t>
          </w:r>
          <w:r>
            <w:rPr>
              <w:rFonts w:hint="eastAsia"/>
            </w:rPr>
            <w:fldChar w:fldCharType="end"/>
          </w:r>
          <w:r>
            <w:rPr>
              <w:rFonts w:hint="eastAsia"/>
            </w:rPr>
            <w:fldChar w:fldCharType="end"/>
          </w:r>
        </w:p>
        <w:p w14:paraId="4EC24D06">
          <w:pPr>
            <w:ind w:firstLine="480"/>
            <w:rPr>
              <w:rFonts w:hint="eastAsia"/>
              <w:b/>
            </w:rPr>
            <w:sectPr>
              <w:footerReference r:id="rId5" w:type="default"/>
              <w:pgSz w:w="11906" w:h="16838"/>
              <w:pgMar w:top="1440" w:right="1800" w:bottom="1440" w:left="1800" w:header="851" w:footer="992" w:gutter="0"/>
              <w:pgBorders>
                <w:top w:val="single" w:color="auto" w:sz="4" w:space="1"/>
                <w:bottom w:val="single" w:color="auto" w:sz="4" w:space="1"/>
              </w:pgBorders>
              <w:pgNumType w:fmt="lowerRoman" w:start="1"/>
              <w:cols w:space="425" w:num="1"/>
              <w:docGrid w:type="lines" w:linePitch="312" w:charSpace="0"/>
            </w:sectPr>
          </w:pPr>
          <w:r>
            <w:fldChar w:fldCharType="end"/>
          </w:r>
        </w:p>
      </w:sdtContent>
    </w:sdt>
    <w:p w14:paraId="5CE60602">
      <w:pPr>
        <w:pStyle w:val="3"/>
        <w:ind w:left="425" w:hanging="425"/>
        <w:rPr>
          <w:rFonts w:hint="eastAsia"/>
        </w:rPr>
      </w:pPr>
      <w:bookmarkStart w:id="1" w:name="_Toc176428575"/>
      <w:r>
        <w:rPr>
          <w:rFonts w:hint="eastAsia"/>
        </w:rPr>
        <w:t>项目简介</w:t>
      </w:r>
      <w:bookmarkEnd w:id="1"/>
    </w:p>
    <w:p w14:paraId="242133DF">
      <w:pPr>
        <w:pStyle w:val="4"/>
        <w:rPr>
          <w:rFonts w:hint="eastAsia"/>
        </w:rPr>
      </w:pPr>
      <w:bookmarkStart w:id="2" w:name="_Toc176428578"/>
      <w:r>
        <w:rPr>
          <w:rFonts w:hint="eastAsia"/>
        </w:rPr>
        <w:t>项目建议书编制依据</w:t>
      </w:r>
      <w:bookmarkEnd w:id="2"/>
    </w:p>
    <w:p w14:paraId="053B12CB">
      <w:pPr>
        <w:pStyle w:val="2"/>
        <w:rPr>
          <w:rFonts w:hint="eastAsia"/>
        </w:rPr>
      </w:pPr>
      <w:r>
        <w:rPr>
          <w:rFonts w:hint="eastAsia"/>
        </w:rPr>
        <w:t>1、通过中讯邮电咨询设计院有限公司现场调查收集的资料，分别包括了信息科和相关科室人员的建议。</w:t>
      </w:r>
    </w:p>
    <w:p w14:paraId="5C1EAED9">
      <w:pPr>
        <w:pStyle w:val="2"/>
        <w:rPr>
          <w:rFonts w:hint="eastAsia"/>
        </w:rPr>
      </w:pPr>
      <w:r>
        <w:rPr>
          <w:rFonts w:hint="eastAsia"/>
        </w:rPr>
        <w:t>2、为进一步贯彻落实《国家信息化领导小组关于加强信息安全保障工作的意见》（中办发[2003]27号）、《关于信息安全等级保护工作的实施意见》（公通字[2004]66号）、《信息安全等级保护管理办法》（公通字[2007]43号）、《关于开展全国重要信息系统安全等级保护定级工作的通知》（公信安[2007]861号）等文件的精神，提高我国基础信息网络和重要信息系统的信息安全保护能力和水平，自2007年开始，从国家层面开始推动我国的政府、金融、电力、电信、交通等基础行业在全国范围内组织开展重要信息系统安全等级保护定级、备案、测评、整改工作。通过将等级化方法和安全体系方法有效结合，设计一套等级化的信息安全保障体系，是适合我国国情、系统化地解决大型组织信息安全问题的一个非常有效的方法。金融、电力、广电、医疗、教育、电子政务、人社等行业主管部门均发文要求开展等级保护工作。</w:t>
      </w:r>
    </w:p>
    <w:p w14:paraId="2A942279">
      <w:pPr>
        <w:ind w:firstLine="0" w:firstLineChars="0"/>
        <w:rPr>
          <w:rFonts w:hint="eastAsia"/>
        </w:rPr>
      </w:pPr>
    </w:p>
    <w:p w14:paraId="74FDF30F">
      <w:pPr>
        <w:pStyle w:val="2"/>
        <w:rPr>
          <w:rFonts w:hint="eastAsia"/>
        </w:rPr>
        <w:sectPr>
          <w:footerReference r:id="rId6" w:type="default"/>
          <w:pgSz w:w="11906" w:h="16838"/>
          <w:pgMar w:top="1440" w:right="1800" w:bottom="1440" w:left="1800" w:header="851" w:footer="992" w:gutter="0"/>
          <w:pgBorders>
            <w:top w:val="single" w:color="auto" w:sz="4" w:space="1"/>
            <w:bottom w:val="single" w:color="auto" w:sz="4" w:space="1"/>
          </w:pgBorders>
          <w:pgNumType w:start="1"/>
          <w:cols w:space="425" w:num="1"/>
          <w:docGrid w:type="lines" w:linePitch="312" w:charSpace="0"/>
        </w:sectPr>
      </w:pPr>
    </w:p>
    <w:p w14:paraId="0AAA304C">
      <w:pPr>
        <w:pStyle w:val="4"/>
        <w:rPr>
          <w:rFonts w:hint="eastAsia"/>
        </w:rPr>
      </w:pPr>
      <w:bookmarkStart w:id="3" w:name="_Toc176428579"/>
      <w:r>
        <w:rPr>
          <w:rFonts w:hint="eastAsia"/>
        </w:rPr>
        <w:t>项目概况</w:t>
      </w:r>
      <w:bookmarkEnd w:id="3"/>
    </w:p>
    <w:p w14:paraId="3BFBC0E7">
      <w:pPr>
        <w:rPr>
          <w:rFonts w:hint="eastAsia"/>
        </w:rPr>
      </w:pPr>
      <w:r>
        <w:rPr>
          <w:rFonts w:hint="eastAsia"/>
        </w:rPr>
        <w:t>随着信息化不断发展，近年来，信息安全问题日益突显，安全事件频频发生。我国国家互联网信息办公室公布的数据表明，中国是网络攻击的受害国，由其是针对政府的攻击由其严峻，现在的网络攻击已经上升到了带政府背景的有组织的攻击。信息系统同时面临各种外部威胁和内部威胁，病毒、黑客入侵、间谍软件、网络钓鱼、SQL代码注入、垃圾邮件、恶意扫描、内部人员误操作、内部人员的信息安全意识不强、内部人员利用职务之便窃取机密信息，可谓内忧外患。</w:t>
      </w:r>
    </w:p>
    <w:p w14:paraId="334B5AE7">
      <w:pPr>
        <w:rPr>
          <w:rFonts w:hint="eastAsia"/>
        </w:rPr>
      </w:pPr>
      <w:r>
        <w:rPr>
          <w:rFonts w:hint="eastAsia"/>
        </w:rPr>
        <w:t>随着中央网络安全和信息化领导小组办公室正式成立，中共中央总书记、国家主席、中央军委主席习近平亲自担任组长，《中华人民共和国网络安全法》的颁布，国家对信息安全工作高度重视，信息安全已经是国家安全的重要组成部分，已经上升到与政治安全、经济安全、领土安全等并驾齐驱的战略高度。</w:t>
      </w:r>
    </w:p>
    <w:p w14:paraId="05B6CAC6">
      <w:pPr>
        <w:pStyle w:val="4"/>
        <w:rPr>
          <w:rFonts w:hint="eastAsia"/>
        </w:rPr>
      </w:pPr>
      <w:bookmarkStart w:id="4" w:name="_Toc176428580"/>
      <w:r>
        <w:rPr>
          <w:rFonts w:hint="eastAsia"/>
        </w:rPr>
        <w:t>主要结论和建议</w:t>
      </w:r>
      <w:bookmarkEnd w:id="4"/>
    </w:p>
    <w:p w14:paraId="45E4788D">
      <w:pPr>
        <w:rPr>
          <w:rFonts w:hint="eastAsia"/>
        </w:rPr>
      </w:pPr>
      <w:r>
        <w:rPr>
          <w:rFonts w:hint="eastAsia"/>
        </w:rPr>
        <w:t>结论：《网络安全法》颁布以来，全国各地都有应未履行等级保护工作的执法案例。《网络安全法》第二十一条明确规定：国家实行网络安全等级保护制度。网络运营者应当按照网络安全等级保护制度的要求，履行下列安全保护义务，保障网络免受干扰、破坏或者未经授权的访问，防止网络数据泄露或者被窃取、篡改：</w:t>
      </w:r>
    </w:p>
    <w:p w14:paraId="59742097">
      <w:pPr>
        <w:rPr>
          <w:rFonts w:hint="eastAsia"/>
        </w:rPr>
      </w:pPr>
      <w:r>
        <w:rPr>
          <w:rFonts w:hint="eastAsia"/>
        </w:rPr>
        <w:t>（一）制定内部安全管理制度和操作规程，确定网络安全负责人，落实网络安全保护责任；</w:t>
      </w:r>
    </w:p>
    <w:p w14:paraId="7E275693">
      <w:pPr>
        <w:rPr>
          <w:rFonts w:hint="eastAsia"/>
        </w:rPr>
      </w:pPr>
      <w:r>
        <w:rPr>
          <w:rFonts w:hint="eastAsia"/>
        </w:rPr>
        <w:t>（二）采取防范计算机病毒和网络攻击、网络侵入等危害网络安全行为的技术措施；</w:t>
      </w:r>
    </w:p>
    <w:p w14:paraId="62B261E7">
      <w:pPr>
        <w:rPr>
          <w:rFonts w:hint="eastAsia"/>
        </w:rPr>
      </w:pPr>
      <w:r>
        <w:rPr>
          <w:rFonts w:hint="eastAsia"/>
        </w:rPr>
        <w:t>（三）采取监测、记录网络运行状态、网络安全事件的技术措施，并按照规定留存相关的网络日志不少于六个月；</w:t>
      </w:r>
    </w:p>
    <w:p w14:paraId="0FD86F3D">
      <w:pPr>
        <w:rPr>
          <w:rFonts w:hint="eastAsia"/>
        </w:rPr>
      </w:pPr>
      <w:r>
        <w:rPr>
          <w:rFonts w:hint="eastAsia"/>
        </w:rPr>
        <w:t>（四）采取数据分类、重要数据备份和加密等措施；</w:t>
      </w:r>
    </w:p>
    <w:p w14:paraId="2A95CCF9">
      <w:pPr>
        <w:rPr>
          <w:rFonts w:hint="eastAsia"/>
        </w:rPr>
      </w:pPr>
      <w:r>
        <w:rPr>
          <w:rFonts w:hint="eastAsia"/>
        </w:rPr>
        <w:t>（五）法律、行政法规规定的其他义务。</w:t>
      </w:r>
    </w:p>
    <w:p w14:paraId="1BAC6969">
      <w:pPr>
        <w:rPr>
          <w:rFonts w:hint="eastAsia"/>
        </w:rPr>
      </w:pPr>
      <w:r>
        <w:rPr>
          <w:rFonts w:hint="eastAsia"/>
        </w:rPr>
        <w:t>网络运营者不履行本法第二十一条规定的网络安全保护义务的，由有关主管部门责令改正，给予警告；拒不改正或者导致危害网络安全等后果的，处一万元以上十万元以下罚款，对直接负责的主管人员处五千元以上五万元以下罚款。</w:t>
      </w:r>
    </w:p>
    <w:p w14:paraId="58563BE0">
      <w:pPr>
        <w:rPr>
          <w:rFonts w:hint="eastAsia"/>
        </w:rPr>
      </w:pPr>
      <w:r>
        <w:rPr>
          <w:rFonts w:hint="eastAsia"/>
        </w:rPr>
        <w:t>建议：为有利于该项目的顺利开展，建议及时组织相关信息化技术人员成立医院信息化项目工作小组，继续完善项目建设方案，加快项目推进步伐。并建议落实项目建设资金，继续本项目的工程设计及概算编制、招标文件编制及相关招投标工作，争取2024年底竣工验收。</w:t>
      </w:r>
    </w:p>
    <w:p w14:paraId="291F4B49">
      <w:pPr>
        <w:pStyle w:val="3"/>
        <w:rPr>
          <w:rFonts w:hint="eastAsia"/>
        </w:rPr>
      </w:pPr>
      <w:bookmarkStart w:id="5" w:name="_Toc176428581"/>
      <w:r>
        <w:rPr>
          <w:rFonts w:hint="eastAsia"/>
        </w:rPr>
        <w:t>项目建设单位概况</w:t>
      </w:r>
      <w:bookmarkEnd w:id="5"/>
    </w:p>
    <w:p w14:paraId="3FB1E4D1">
      <w:pPr>
        <w:pStyle w:val="4"/>
        <w:rPr>
          <w:rFonts w:hint="eastAsia"/>
        </w:rPr>
      </w:pPr>
      <w:bookmarkStart w:id="6" w:name="_Toc176428583"/>
      <w:r>
        <w:rPr>
          <w:rFonts w:hint="eastAsia"/>
        </w:rPr>
        <w:t>项目实施机构与职责</w:t>
      </w:r>
      <w:bookmarkEnd w:id="6"/>
    </w:p>
    <w:p w14:paraId="7F775E95">
      <w:pPr>
        <w:pStyle w:val="5"/>
        <w:tabs>
          <w:tab w:val="left" w:pos="0"/>
          <w:tab w:val="left" w:pos="720"/>
        </w:tabs>
        <w:ind w:left="0"/>
        <w:rPr>
          <w:rFonts w:hint="eastAsia"/>
        </w:rPr>
      </w:pPr>
      <w:r>
        <w:rPr>
          <w:rFonts w:hint="eastAsia"/>
        </w:rPr>
        <w:t>信息科</w:t>
      </w:r>
    </w:p>
    <w:p w14:paraId="395E2FC7">
      <w:pPr>
        <w:pStyle w:val="2"/>
        <w:rPr>
          <w:rFonts w:hint="eastAsia"/>
        </w:rPr>
      </w:pPr>
      <w:r>
        <w:rPr>
          <w:rFonts w:hint="eastAsia"/>
        </w:rPr>
        <w:t>1、按照国家标准制定《信息安全管理制度》，明确了信息安全管理的范围、目标、职责、机构、程序、方法和保证措施等，保障了医院信息系统合法、正常、安全可靠的运行。明确医院信息安全管理的目标，以保护医院核心业务及数据不被非法窃取或损坏、保障信息处理和传输的安全和可靠性为主要目标；阐述医院各级负责人间的安全管理职责和制度指导责任，建立并实行完整的信息安全管理体系，确保所有相关人员都能履行自己的信息安全管理职责；详细规定医院信息安全管理制度的制定、执行、评估、维护等重要流程和闭环；以医院用户角色的分配，赋予用户不同的权限，确保用户分工明确，权限分明，数据规范，信息可靠性，以及切实防止非法窃取、分发、利用医院信息资源；明确规定网络设备、安全设备的购置、配置及管理要求，防范黑客和病毒的恶意攻击，对网络业务和操作人员加强管理和监督；制定合理、可行的备份计划和备份周期，确保数据备份完整、可靠。在系统或数据造成严重损坏或丢失时，按备份计划对数据再次备份，以防止数据永久性丢失。</w:t>
      </w:r>
    </w:p>
    <w:p w14:paraId="6DB565E7">
      <w:pPr>
        <w:pStyle w:val="2"/>
        <w:rPr>
          <w:rFonts w:hint="eastAsia"/>
        </w:rPr>
      </w:pPr>
      <w:r>
        <w:rPr>
          <w:rFonts w:hint="eastAsia"/>
        </w:rPr>
        <w:t>2、定期对信息安全管理制度进行评估，发现及时制度漏洞，并加以修正完善以确保管理制度更加合理、科学、完善，真正达到预期的管理效果。</w:t>
      </w:r>
    </w:p>
    <w:p w14:paraId="12413E7B">
      <w:pPr>
        <w:pStyle w:val="3"/>
        <w:rPr>
          <w:rFonts w:hint="eastAsia"/>
        </w:rPr>
      </w:pPr>
      <w:bookmarkStart w:id="7" w:name="_Toc176428584"/>
      <w:r>
        <w:rPr>
          <w:rFonts w:hint="eastAsia"/>
        </w:rPr>
        <w:t>项目建设的必要性</w:t>
      </w:r>
      <w:bookmarkEnd w:id="7"/>
    </w:p>
    <w:p w14:paraId="0E99BD45">
      <w:pPr>
        <w:pStyle w:val="4"/>
        <w:rPr>
          <w:rFonts w:hint="eastAsia"/>
        </w:rPr>
      </w:pPr>
      <w:bookmarkStart w:id="8" w:name="_Toc176428585"/>
      <w:r>
        <w:rPr>
          <w:rFonts w:hint="eastAsia"/>
        </w:rPr>
        <w:t>项目背景和依据</w:t>
      </w:r>
      <w:bookmarkEnd w:id="8"/>
    </w:p>
    <w:p w14:paraId="2FB63374">
      <w:pPr>
        <w:pStyle w:val="2"/>
        <w:rPr>
          <w:rFonts w:hint="eastAsia"/>
        </w:rPr>
      </w:pPr>
      <w:r>
        <w:rPr>
          <w:rFonts w:hint="eastAsia"/>
        </w:rPr>
        <w:t>等保测评，</w:t>
      </w:r>
      <w:r>
        <w:rPr>
          <w:rFonts w:hint="eastAsia" w:ascii="仿宋" w:hAnsi="仿宋" w:cs="仿宋"/>
        </w:rPr>
        <w:t>全称信息安全等级保护测评，</w:t>
      </w:r>
      <w:r>
        <w:rPr>
          <w:rFonts w:ascii="Courier New" w:hAnsi="Courier New" w:cs="Courier New"/>
        </w:rPr>
        <w:t>‌</w:t>
      </w:r>
      <w:r>
        <w:rPr>
          <w:rFonts w:hint="eastAsia" w:ascii="仿宋" w:hAnsi="仿宋" w:cs="仿宋"/>
        </w:rPr>
        <w:t>是指根据国家标准《信息安全等级保护基本要求》</w:t>
      </w:r>
      <w:r>
        <w:t>(GB/T 22239-2008)和《</w:t>
      </w:r>
      <w:r>
        <w:rPr>
          <w:rFonts w:ascii="Times New Roman" w:hAnsi="Times New Roman"/>
        </w:rPr>
        <w:t>‌</w:t>
      </w:r>
      <w:r>
        <w:t>信息安全技术 信息系统安全等级保护评估规范》</w:t>
      </w:r>
      <w:r>
        <w:rPr>
          <w:rFonts w:ascii="Times New Roman" w:hAnsi="Times New Roman"/>
        </w:rPr>
        <w:t>‌</w:t>
      </w:r>
      <w:r>
        <w:t>(GB/T 28448-2012)，</w:t>
      </w:r>
      <w:r>
        <w:rPr>
          <w:rFonts w:ascii="Times New Roman" w:hAnsi="Times New Roman"/>
        </w:rPr>
        <w:t>‌</w:t>
      </w:r>
      <w:r>
        <w:t>对信息系统的安全等级、</w:t>
      </w:r>
      <w:r>
        <w:rPr>
          <w:rFonts w:ascii="Times New Roman" w:hAnsi="Times New Roman"/>
        </w:rPr>
        <w:t>‌</w:t>
      </w:r>
      <w:r>
        <w:t>安全需求、</w:t>
      </w:r>
      <w:r>
        <w:rPr>
          <w:rFonts w:ascii="Times New Roman" w:hAnsi="Times New Roman"/>
        </w:rPr>
        <w:t>‌</w:t>
      </w:r>
      <w:r>
        <w:t>安全措施和安全管理进行综合评估，</w:t>
      </w:r>
      <w:r>
        <w:rPr>
          <w:rFonts w:ascii="Times New Roman" w:hAnsi="Times New Roman"/>
        </w:rPr>
        <w:t>‌</w:t>
      </w:r>
      <w:r>
        <w:t>以确定信息系统是否符合相应的安全等级要求的过程。</w:t>
      </w:r>
      <w:r>
        <w:rPr>
          <w:rFonts w:ascii="Times New Roman" w:hAnsi="Times New Roman"/>
        </w:rPr>
        <w:t>‌</w:t>
      </w:r>
    </w:p>
    <w:p w14:paraId="6980E67D">
      <w:pPr>
        <w:pStyle w:val="2"/>
        <w:rPr>
          <w:rFonts w:hint="eastAsia"/>
        </w:rPr>
      </w:pPr>
      <w:r>
        <w:rPr>
          <w:rFonts w:hint="eastAsia"/>
        </w:rPr>
        <w:t>等保测评的主要目的是确保信息系统的安全性和可靠性，</w:t>
      </w:r>
      <w:r>
        <w:rPr>
          <w:rFonts w:hint="eastAsia" w:ascii="仿宋" w:hAnsi="仿宋" w:cs="仿宋"/>
        </w:rPr>
        <w:t>通过评估信息系统的各项安全措施是否达到预定的安全标准，来保障信息系统的稳定运行和数据的安全。这个过程包括但不限于对信息系统的物理安全、网络安全、系统安全、应用安全以及管理安全等方面的综合评估。评估的内容可能包括但不限于访问控制、数据加密、身份认证、日志管理、漏洞扫描等多个方面，以确保信息系统的安全防护措施能够有效地抵御外部攻击和内部误操作带来的风险。</w:t>
      </w:r>
    </w:p>
    <w:p w14:paraId="49252DC5">
      <w:pPr>
        <w:pStyle w:val="2"/>
        <w:rPr>
          <w:rFonts w:hint="eastAsia"/>
        </w:rPr>
      </w:pPr>
      <w:r>
        <w:rPr>
          <w:rFonts w:hint="eastAsia"/>
        </w:rPr>
        <w:t>此外，</w:t>
      </w:r>
      <w:r>
        <w:rPr>
          <w:rFonts w:hint="eastAsia" w:ascii="仿宋" w:hAnsi="仿宋" w:cs="仿宋"/>
        </w:rPr>
        <w:t>等保测评还涉及到对信息系统安全管理措施的评估，包括但不限于安全策略的制定、安全教育和培训、应急响应计划的制定和实施等，以确保信息系统的安全管理能够有效地应对各种安全威胁和风险。通过等保测评，可以帮助</w:t>
      </w:r>
      <w:r>
        <w:rPr>
          <w:rFonts w:hint="eastAsia"/>
        </w:rPr>
        <w:t>医院</w:t>
      </w:r>
      <w:r>
        <w:rPr>
          <w:rFonts w:hint="eastAsia" w:ascii="仿宋" w:hAnsi="仿宋" w:cs="仿宋"/>
        </w:rPr>
        <w:t>或组织识别和解决信息系统中的安全隐患，提高信息系统的安全防护能力，保障信息的机密性、完整性和可用</w:t>
      </w:r>
      <w:r>
        <w:rPr>
          <w:rFonts w:hint="eastAsia"/>
        </w:rPr>
        <w:t>性。</w:t>
      </w:r>
    </w:p>
    <w:p w14:paraId="7DF1E7B4">
      <w:pPr>
        <w:pStyle w:val="4"/>
        <w:rPr>
          <w:rFonts w:hint="eastAsia"/>
        </w:rPr>
      </w:pPr>
      <w:bookmarkStart w:id="9" w:name="_Toc176428586"/>
      <w:r>
        <w:rPr>
          <w:rFonts w:hint="eastAsia"/>
        </w:rPr>
        <w:t>网络安全等级保护评测(2024、2025年)标准</w:t>
      </w:r>
      <w:bookmarkEnd w:id="9"/>
    </w:p>
    <w:p w14:paraId="066D76B4">
      <w:pPr>
        <w:pStyle w:val="2"/>
        <w:rPr>
          <w:rFonts w:hint="eastAsia"/>
        </w:rPr>
      </w:pPr>
      <w:r>
        <w:rPr>
          <w:rFonts w:hint="eastAsia"/>
        </w:rPr>
        <w:t>在相关国家标准或医疗标准中有规定的规范条文，提供的测评标准均应遵循公安部、卫健委相关文件要求和采购人的相关文件要求，所用的标准必须是其最新版本；如果这些标准内容矛盾时，应按最高标准的条款执行或按双方商定的标准执行；</w:t>
      </w:r>
    </w:p>
    <w:p w14:paraId="346E53EA">
      <w:pPr>
        <w:pStyle w:val="2"/>
        <w:rPr>
          <w:rFonts w:hint="eastAsia"/>
        </w:rPr>
      </w:pPr>
      <w:r>
        <w:t>《中华人民共和国网络安全法》</w:t>
      </w:r>
    </w:p>
    <w:p w14:paraId="1AE0CB82">
      <w:pPr>
        <w:pStyle w:val="2"/>
        <w:rPr>
          <w:rFonts w:hint="eastAsia"/>
        </w:rPr>
      </w:pPr>
      <w:r>
        <w:t>《中华人民共和国计算机信息系统安全保护条例》(国务院147号令)</w:t>
      </w:r>
    </w:p>
    <w:p w14:paraId="2E13D363">
      <w:pPr>
        <w:pStyle w:val="2"/>
        <w:rPr>
          <w:rFonts w:hint="eastAsia"/>
        </w:rPr>
      </w:pPr>
      <w:r>
        <w:t>《信息安全等级保护管理办法》(公通字[2007]43号)</w:t>
      </w:r>
    </w:p>
    <w:p w14:paraId="152E9BFC">
      <w:pPr>
        <w:pStyle w:val="2"/>
        <w:rPr>
          <w:rFonts w:hint="eastAsia"/>
        </w:rPr>
      </w:pPr>
      <w:r>
        <w:rPr>
          <w:rFonts w:hint="eastAsia"/>
        </w:rPr>
        <w:tab/>
      </w:r>
      <w:r>
        <w:rPr>
          <w:rFonts w:hint="eastAsia"/>
        </w:rPr>
        <w:t>GB/T 22240-2020：《信息系统安全等级保护定级指南》</w:t>
      </w:r>
    </w:p>
    <w:p w14:paraId="369E1692">
      <w:pPr>
        <w:pStyle w:val="2"/>
        <w:rPr>
          <w:rFonts w:hint="eastAsia"/>
        </w:rPr>
      </w:pPr>
      <w:r>
        <w:t>GB/T 22239-2019：《信息安全技术 网络安全等级保护基本要求》</w:t>
      </w:r>
    </w:p>
    <w:p w14:paraId="6042C13F">
      <w:pPr>
        <w:pStyle w:val="2"/>
        <w:rPr>
          <w:rFonts w:hint="eastAsia"/>
        </w:rPr>
      </w:pPr>
      <w:r>
        <w:t>GB/T 28448-2019：《信息安全技术 网络安全等级保护测评要求》</w:t>
      </w:r>
    </w:p>
    <w:p w14:paraId="66CF3FBE">
      <w:pPr>
        <w:pStyle w:val="2"/>
        <w:rPr>
          <w:rFonts w:hint="eastAsia"/>
        </w:rPr>
      </w:pPr>
      <w:r>
        <w:t>GB/T 28449-2018：《信息安全技术 网络安全等级保护测评过程指南》</w:t>
      </w:r>
    </w:p>
    <w:p w14:paraId="7F09C782">
      <w:pPr>
        <w:pStyle w:val="2"/>
        <w:rPr>
          <w:rFonts w:hint="eastAsia"/>
        </w:rPr>
      </w:pPr>
      <w:r>
        <w:t>GB/T 20984-2022：《信息安全技术 信息安全风险评估方法》</w:t>
      </w:r>
      <w:r>
        <w:rPr>
          <w:rFonts w:hint="eastAsia"/>
        </w:rPr>
        <w:t>。</w:t>
      </w:r>
    </w:p>
    <w:p w14:paraId="0C572515">
      <w:pPr>
        <w:pStyle w:val="4"/>
        <w:rPr>
          <w:rFonts w:hint="eastAsia"/>
        </w:rPr>
      </w:pPr>
      <w:bookmarkStart w:id="10" w:name="_Toc176428587"/>
      <w:r>
        <w:rPr>
          <w:rFonts w:hint="eastAsia"/>
        </w:rPr>
        <w:t>现有网络安全等级保护评测状况</w:t>
      </w:r>
      <w:bookmarkEnd w:id="10"/>
    </w:p>
    <w:p w14:paraId="44BDF20A">
      <w:pPr>
        <w:rPr>
          <w:rFonts w:hint="eastAsia"/>
        </w:rPr>
      </w:pPr>
      <w:r>
        <w:rPr>
          <w:rFonts w:hint="eastAsia"/>
        </w:rPr>
        <w:t>医院是中国医疗服务体系的主体。国家卫生部部长陈竺指出:“公立医院是体现公益性、解决基本医疗、缓解人民群众看病就医困难的主体，矛盾问题比较集中。要加强其公益性，就要扭转过于强调医院创收的倾向，让其成为群众医治大病、重病和难病的基本医疗服务平台。”积极响应国家网络安全等级保护制度，致力于提升医院信息系统的安全防护能力。近年来，医院紧跟国家网络安全战略步伐，不断完善网络安全等级保护制度，并引入了一系列先进的测评工具和技术，如自动化漏洞扫描、渗透测试、数据加密技术、访问控制管理系统等，以提高测评效率和准确性。</w:t>
      </w:r>
    </w:p>
    <w:p w14:paraId="027C61DC">
      <w:pPr>
        <w:pStyle w:val="4"/>
        <w:rPr>
          <w:rFonts w:hint="eastAsia"/>
        </w:rPr>
      </w:pPr>
      <w:bookmarkStart w:id="11" w:name="_Toc176428588"/>
      <w:r>
        <w:rPr>
          <w:rFonts w:hint="eastAsia"/>
        </w:rPr>
        <w:t>项目建设的意义和必要性</w:t>
      </w:r>
      <w:bookmarkEnd w:id="11"/>
    </w:p>
    <w:p w14:paraId="073099E2">
      <w:pPr>
        <w:rPr>
          <w:rFonts w:hint="eastAsia"/>
        </w:rPr>
      </w:pPr>
      <w:r>
        <w:rPr>
          <w:rFonts w:hint="eastAsia"/>
        </w:rPr>
        <w:t>等保测评的重要性，等保测评是对信息系统的安全性能和等级的评估体系，它通过对信息系统的各项安全要素进行评估，包括硬件设施、软件系统、网络架构等，来确定系统的安全等级，并提出相应的安全增强建议。等保测评的重要性体现在它可以帮助机构全面认识系统的安全现状，提供一个客观的安全等级评估标准，提升安全管理水平。</w:t>
      </w:r>
    </w:p>
    <w:p w14:paraId="1DF36C91">
      <w:pPr>
        <w:rPr>
          <w:rFonts w:hint="eastAsia"/>
        </w:rPr>
      </w:pPr>
      <w:r>
        <w:rPr>
          <w:rFonts w:hint="eastAsia"/>
        </w:rPr>
        <w:t>等保测评面临的挑战，尽管取得了显著进展，但医院在推进等级保护测评工作时也面临着多方面的挑战：技术更新迅速、人才短缺、资源分配不均、合规性与实用性平衡等问题。</w:t>
      </w:r>
    </w:p>
    <w:p w14:paraId="71F2834C">
      <w:pPr>
        <w:rPr>
          <w:rFonts w:hint="eastAsia"/>
        </w:rPr>
      </w:pPr>
      <w:r>
        <w:rPr>
          <w:rFonts w:hint="eastAsia"/>
        </w:rPr>
        <w:t>结论：等保测评的实践，不仅提升了我医院的信息安全水平，也为全国网络安全治理提供了可借鉴的模式和经验。面对不断变化的网络安全威胁，持续深化等保测评，加强技术创新与合作，将是未来网络安全建设的重要方向。</w:t>
      </w:r>
    </w:p>
    <w:p w14:paraId="7ED4091B">
      <w:pPr>
        <w:pStyle w:val="3"/>
        <w:rPr>
          <w:rFonts w:hint="eastAsia"/>
        </w:rPr>
      </w:pPr>
      <w:bookmarkStart w:id="12" w:name="_Toc176428589"/>
      <w:r>
        <w:rPr>
          <w:rFonts w:hint="eastAsia"/>
        </w:rPr>
        <w:t>需求分析</w:t>
      </w:r>
      <w:bookmarkEnd w:id="12"/>
    </w:p>
    <w:p w14:paraId="33565AAC">
      <w:pPr>
        <w:pStyle w:val="4"/>
        <w:rPr>
          <w:rFonts w:hint="eastAsia"/>
        </w:rPr>
      </w:pPr>
      <w:bookmarkStart w:id="13" w:name="_Toc176428590"/>
      <w:r>
        <w:rPr>
          <w:rFonts w:hint="eastAsia"/>
        </w:rPr>
        <w:t>安全保密与自主可控</w:t>
      </w:r>
      <w:bookmarkEnd w:id="13"/>
    </w:p>
    <w:p w14:paraId="236F99DA">
      <w:pPr>
        <w:pStyle w:val="5"/>
        <w:tabs>
          <w:tab w:val="left" w:pos="0"/>
          <w:tab w:val="left" w:pos="720"/>
        </w:tabs>
        <w:ind w:left="0"/>
        <w:rPr>
          <w:rFonts w:hint="eastAsia"/>
        </w:rPr>
      </w:pPr>
      <w:r>
        <w:rPr>
          <w:rFonts w:hint="eastAsia"/>
        </w:rPr>
        <w:t>安全保密配套设施建设</w:t>
      </w:r>
    </w:p>
    <w:p w14:paraId="5D6E2D06">
      <w:pPr>
        <w:rPr>
          <w:rFonts w:hint="eastAsia"/>
        </w:rPr>
      </w:pPr>
      <w:r>
        <w:rPr>
          <w:rFonts w:hint="eastAsia"/>
        </w:rPr>
        <w:t>等保测评需要的安全设备主要包括以下几类：</w:t>
      </w:r>
    </w:p>
    <w:p w14:paraId="2840D5C9">
      <w:pPr>
        <w:rPr>
          <w:rFonts w:hint="eastAsia"/>
        </w:rPr>
      </w:pPr>
      <w:r>
        <w:rPr>
          <w:rFonts w:hint="eastAsia"/>
        </w:rPr>
        <w:t>1.防火墙（Firewall）：用于对网络流量进行过滤和监控，防止未经授权的访问和恶意攻击。</w:t>
      </w:r>
    </w:p>
    <w:p w14:paraId="6F01A0FF">
      <w:pPr>
        <w:rPr>
          <w:rFonts w:hint="eastAsia"/>
        </w:rPr>
      </w:pPr>
      <w:r>
        <w:rPr>
          <w:rFonts w:hint="eastAsia"/>
        </w:rPr>
        <w:t>2.入侵检测和防御系统（Intrusion Detection and Prevention System，IDPS）：用于检测和防御网络中的入侵行为，包括外部入侵和内部滥用。</w:t>
      </w:r>
    </w:p>
    <w:p w14:paraId="66F528BF">
      <w:pPr>
        <w:rPr>
          <w:rFonts w:hint="eastAsia"/>
        </w:rPr>
      </w:pPr>
      <w:r>
        <w:rPr>
          <w:rFonts w:hint="eastAsia"/>
        </w:rPr>
        <w:t>3.安全信息和事件管理系统（Security Information and Event Management，SIEM）：用于集中管理和分析网络设备和系统的安全事件和日志信息，快速发现和响应安全威胁。</w:t>
      </w:r>
    </w:p>
    <w:p w14:paraId="45D6CAF6">
      <w:pPr>
        <w:rPr>
          <w:rFonts w:hint="eastAsia"/>
        </w:rPr>
      </w:pPr>
      <w:r>
        <w:rPr>
          <w:rFonts w:hint="eastAsia"/>
        </w:rPr>
        <w:t>4.数据加密和安全传输设备：用于对敏感数据进行加密和安全传输，防止数据泄露和窃取。</w:t>
      </w:r>
    </w:p>
    <w:p w14:paraId="45DC2030">
      <w:pPr>
        <w:rPr>
          <w:rFonts w:hint="eastAsia"/>
        </w:rPr>
      </w:pPr>
      <w:r>
        <w:rPr>
          <w:rFonts w:hint="eastAsia"/>
        </w:rPr>
        <w:t>5.传输层安全协议（Transport Layer Security，TLS）设备：用于确保网络通信的安全性和私密性，防止数据被篡改或窃取。</w:t>
      </w:r>
    </w:p>
    <w:p w14:paraId="17816468">
      <w:pPr>
        <w:rPr>
          <w:rFonts w:hint="eastAsia"/>
        </w:rPr>
      </w:pPr>
      <w:r>
        <w:rPr>
          <w:rFonts w:hint="eastAsia"/>
        </w:rPr>
        <w:t>6.身份认证和访问控制设备：用于确保用户身份的合法性，并对用户的访问进行控制和管理。</w:t>
      </w:r>
    </w:p>
    <w:p w14:paraId="6B2A34E1">
      <w:pPr>
        <w:rPr>
          <w:rFonts w:hint="eastAsia"/>
        </w:rPr>
      </w:pPr>
      <w:r>
        <w:rPr>
          <w:rFonts w:hint="eastAsia"/>
        </w:rPr>
        <w:t>7.安全审计和合规性检测设备：用于对网络设备和系统进行安全审计和合规性检测，确保其符合相关安全标准和规范。</w:t>
      </w:r>
    </w:p>
    <w:p w14:paraId="2B4C750D">
      <w:pPr>
        <w:rPr>
          <w:rFonts w:hint="eastAsia"/>
        </w:rPr>
      </w:pPr>
      <w:r>
        <w:rPr>
          <w:rFonts w:hint="eastAsia"/>
        </w:rPr>
        <w:t>8.安全管理平台：用于集中管理和监控各种安全设备和系统，提供统一的安全管理和操作界面。</w:t>
      </w:r>
    </w:p>
    <w:p w14:paraId="6543A276">
      <w:pPr>
        <w:pStyle w:val="2"/>
        <w:rPr>
          <w:rFonts w:hint="eastAsia"/>
        </w:rPr>
      </w:pPr>
      <w:r>
        <w:rPr>
          <w:rFonts w:hint="eastAsia"/>
        </w:rPr>
        <w:t>以上设备只是一些常见的等保测评安全设备，实际使用的设备可能根据具体的需求和环境而有所不同。</w:t>
      </w:r>
    </w:p>
    <w:p w14:paraId="35921768">
      <w:pPr>
        <w:pStyle w:val="5"/>
        <w:tabs>
          <w:tab w:val="left" w:pos="0"/>
          <w:tab w:val="left" w:pos="720"/>
        </w:tabs>
        <w:ind w:left="0"/>
        <w:rPr>
          <w:rFonts w:hint="eastAsia"/>
        </w:rPr>
      </w:pPr>
      <w:r>
        <w:rPr>
          <w:rFonts w:hint="eastAsia"/>
        </w:rPr>
        <w:t>监管体系的融入</w:t>
      </w:r>
    </w:p>
    <w:p w14:paraId="66584656">
      <w:pPr>
        <w:rPr>
          <w:rFonts w:hint="eastAsia"/>
        </w:rPr>
      </w:pPr>
      <w:r>
        <w:rPr>
          <w:rFonts w:hint="eastAsia"/>
        </w:rPr>
        <w:t>监督制度：等保测评机构应建立监督和审计制度，对测评过程进行全面监督和审计，确保测评结果的准确性和公正性。监督和审计制度应包括对测评人员的监督、测评过程的审计、测评结果的审核等方面。</w:t>
      </w:r>
    </w:p>
    <w:p w14:paraId="6E6B0251">
      <w:pPr>
        <w:pStyle w:val="2"/>
        <w:rPr>
          <w:rFonts w:hint="eastAsia"/>
        </w:rPr>
      </w:pPr>
      <w:r>
        <w:rPr>
          <w:rFonts w:hint="eastAsia"/>
        </w:rPr>
        <w:t>资源管理制度：等保测评机构需要管理大量的业务和数据资源，应该建立资源管理制度，确保资源的规范配置和使用。包括基础设施、硬件和软件设备的管理，获得授权的鉴定人员、评测工具的管理等内容。</w:t>
      </w:r>
    </w:p>
    <w:p w14:paraId="0B78E742">
      <w:pPr>
        <w:pStyle w:val="5"/>
        <w:tabs>
          <w:tab w:val="left" w:pos="0"/>
          <w:tab w:val="left" w:pos="720"/>
        </w:tabs>
        <w:ind w:left="0"/>
        <w:rPr>
          <w:rFonts w:hint="eastAsia"/>
        </w:rPr>
      </w:pPr>
      <w:r>
        <w:rPr>
          <w:rFonts w:hint="eastAsia"/>
        </w:rPr>
        <w:t>内控安全设计</w:t>
      </w:r>
    </w:p>
    <w:p w14:paraId="0D5B79C2">
      <w:pPr>
        <w:rPr>
          <w:rFonts w:hint="eastAsia"/>
        </w:rPr>
      </w:pPr>
      <w:r>
        <w:rPr>
          <w:rFonts w:hint="eastAsia"/>
        </w:rPr>
        <w:t>测评工作本身也会引入安全风险，必须加强测评过程中的风险控制。项目实施前，双方应充分讨论并明确测评对系统可能带来的风险和隐患，确定测评对象、测评方法和工具，并制定应急恢复措施。</w:t>
      </w:r>
    </w:p>
    <w:p w14:paraId="404E402B">
      <w:pPr>
        <w:rPr>
          <w:rFonts w:hint="eastAsia"/>
        </w:rPr>
      </w:pPr>
      <w:r>
        <w:rPr>
          <w:rFonts w:hint="eastAsia"/>
        </w:rPr>
        <w:t>（1）操作的申请和监护</w:t>
      </w:r>
    </w:p>
    <w:p w14:paraId="1428B4E8">
      <w:pPr>
        <w:rPr>
          <w:rFonts w:hint="eastAsia"/>
        </w:rPr>
      </w:pPr>
      <w:r>
        <w:rPr>
          <w:rFonts w:hint="eastAsia"/>
        </w:rPr>
        <w:t>测评操作必须遵守现场运行规章制度，确保系统安全稳定运行。如需在线测试，按照相关工作规程，事前申请，并在专责人员的指导和监护下进行。</w:t>
      </w:r>
    </w:p>
    <w:p w14:paraId="1F3C7579">
      <w:pPr>
        <w:rPr>
          <w:rFonts w:hint="eastAsia"/>
        </w:rPr>
      </w:pPr>
      <w:r>
        <w:rPr>
          <w:rFonts w:hint="eastAsia"/>
        </w:rPr>
        <w:t>（2）人员与数据管理</w:t>
      </w:r>
    </w:p>
    <w:p w14:paraId="3740569D">
      <w:pPr>
        <w:rPr>
          <w:rFonts w:hint="eastAsia"/>
        </w:rPr>
      </w:pPr>
      <w:r>
        <w:rPr>
          <w:rFonts w:hint="eastAsia"/>
        </w:rPr>
        <w:t>重视保密工作，加强测评过程中的保密管理，确保参与测评工作人员的可靠、稳定，防止敏感信息泄漏。</w:t>
      </w:r>
    </w:p>
    <w:p w14:paraId="57063555">
      <w:pPr>
        <w:rPr>
          <w:rFonts w:hint="eastAsia"/>
        </w:rPr>
      </w:pPr>
      <w:r>
        <w:rPr>
          <w:rFonts w:hint="eastAsia"/>
        </w:rPr>
        <w:t>（3）测评对象选择</w:t>
      </w:r>
    </w:p>
    <w:p w14:paraId="76AB5EAA">
      <w:pPr>
        <w:rPr>
          <w:rFonts w:hint="eastAsia"/>
        </w:rPr>
      </w:pPr>
      <w:r>
        <w:rPr>
          <w:rFonts w:hint="eastAsia"/>
        </w:rPr>
        <w:t>优先选择备用设备（系统）或临时搭建的模拟环境进行测评，避免影响在线系统运行。</w:t>
      </w:r>
    </w:p>
    <w:p w14:paraId="5C8BBEBA">
      <w:pPr>
        <w:rPr>
          <w:rFonts w:hint="eastAsia"/>
        </w:rPr>
      </w:pPr>
      <w:r>
        <w:rPr>
          <w:rFonts w:hint="eastAsia"/>
        </w:rPr>
        <w:t>（4）制定应急预案</w:t>
      </w:r>
    </w:p>
    <w:p w14:paraId="68E84989">
      <w:pPr>
        <w:rPr>
          <w:rFonts w:hint="eastAsia"/>
        </w:rPr>
      </w:pPr>
      <w:r>
        <w:rPr>
          <w:rFonts w:hint="eastAsia"/>
        </w:rPr>
        <w:t>根据被测系统情况，在测评实施前制定应急预案，加强系统在线应急处置能力。</w:t>
      </w:r>
    </w:p>
    <w:p w14:paraId="2CB8099B">
      <w:pPr>
        <w:pStyle w:val="5"/>
        <w:tabs>
          <w:tab w:val="left" w:pos="0"/>
          <w:tab w:val="left" w:pos="720"/>
        </w:tabs>
        <w:ind w:left="0"/>
        <w:rPr>
          <w:rFonts w:hint="eastAsia"/>
        </w:rPr>
      </w:pPr>
      <w:r>
        <w:rPr>
          <w:rFonts w:hint="eastAsia"/>
        </w:rPr>
        <w:t>安全保密检测评估改</w:t>
      </w:r>
    </w:p>
    <w:p w14:paraId="56DFBE8E">
      <w:pPr>
        <w:rPr>
          <w:rFonts w:hint="eastAsia"/>
        </w:rPr>
      </w:pPr>
      <w:r>
        <w:rPr>
          <w:rFonts w:hint="eastAsia"/>
        </w:rPr>
        <w:t>安全部署：等保测评机构应按照安全管理要求采取必要的技术手段，加强其系统、网站和数据库等关键资源的安全防护。建立安全管理制度，实现安全漏洞及时发现与修复，给用户提供更可靠、保密性较强的服务。</w:t>
      </w:r>
    </w:p>
    <w:p w14:paraId="528014A0">
      <w:pPr>
        <w:pStyle w:val="2"/>
        <w:rPr>
          <w:rFonts w:hint="eastAsia"/>
        </w:rPr>
      </w:pPr>
      <w:r>
        <w:rPr>
          <w:rFonts w:hint="eastAsia"/>
        </w:rPr>
        <w:t>保密制度：等保测评机构应建立保密制度，对涉及客户隐私和医院机密的信息进行严格管理，确保客户隐私和医院机密不被泄露。</w:t>
      </w:r>
    </w:p>
    <w:p w14:paraId="5AB5D11B">
      <w:pPr>
        <w:pStyle w:val="5"/>
        <w:tabs>
          <w:tab w:val="left" w:pos="0"/>
          <w:tab w:val="left" w:pos="720"/>
        </w:tabs>
        <w:ind w:left="0"/>
        <w:rPr>
          <w:rFonts w:hint="eastAsia"/>
        </w:rPr>
      </w:pPr>
      <w:r>
        <w:rPr>
          <w:rFonts w:hint="eastAsia"/>
        </w:rPr>
        <w:t>国产自主可控要求的落实</w:t>
      </w:r>
    </w:p>
    <w:p w14:paraId="56532A76">
      <w:pPr>
        <w:rPr>
          <w:rFonts w:hint="eastAsia"/>
        </w:rPr>
      </w:pPr>
      <w:r>
        <w:rPr>
          <w:rFonts w:hint="eastAsia"/>
        </w:rPr>
        <w:t>网络安全的核心是技术安全，技术安全的一条核心原则就是关键的核心技术要自主可控。核心技术是我们最大的“命脉”， 实现网络安全，要尽可能把关键核心技术掌握在自己手里，才能避免处于被动地位，“网信领域具有高垄断性，新进入市场的国产软硬件如果不能打破垄断，就没法实现替代”。</w:t>
      </w:r>
    </w:p>
    <w:p w14:paraId="43101EC6">
      <w:pPr>
        <w:rPr>
          <w:rFonts w:hint="eastAsia"/>
        </w:rPr>
      </w:pPr>
      <w:r>
        <w:rPr>
          <w:rFonts w:hint="eastAsia"/>
        </w:rPr>
        <w:t>过去我们对自主可控没有形成制度支撑，因而不能及时发现短板，容易被人“卡脖子”。现在我国技术自主可控的情况依然堪忧，迄今为止，我国政府采购等活动中仍有不利于自主可控的情况，影响了重要部门的网络安全。</w:t>
      </w:r>
    </w:p>
    <w:p w14:paraId="2016CE11">
      <w:pPr>
        <w:rPr>
          <w:rFonts w:hint="eastAsia"/>
        </w:rPr>
      </w:pPr>
      <w:r>
        <w:rPr>
          <w:rFonts w:hint="eastAsia"/>
        </w:rPr>
        <w:t>目前“穿马甲”情况严重，也就是将不能自主可控的外国技术，假冒国产自主可控技术，混入政府采购和重要领域，（可能）成为特洛伊木马。我国亟需制订自主可控测评评估标准并由专门机构实施，形成制度保障。</w:t>
      </w:r>
    </w:p>
    <w:p w14:paraId="6FD90C9F">
      <w:pPr>
        <w:rPr>
          <w:rFonts w:hint="eastAsia"/>
        </w:rPr>
      </w:pPr>
      <w:r>
        <w:rPr>
          <w:rFonts w:hint="eastAsia"/>
        </w:rPr>
        <w:t>自主可控测评还需要适应形势的发展，例如现在根据美国法律，如果根源在美国的技术发展，就会被计入属地比重，范围包括 IP 与相关核心技术，若美国技术成分占比超过25%，就会受到美国法律的管辖，这种情况也要在自主可控测评中加以考虑。</w:t>
      </w:r>
    </w:p>
    <w:p w14:paraId="71347A3E">
      <w:pPr>
        <w:rPr>
          <w:rFonts w:hint="eastAsia"/>
        </w:rPr>
      </w:pPr>
      <w:r>
        <w:rPr>
          <w:rFonts w:hint="eastAsia"/>
        </w:rPr>
        <w:t>实践证明，如果网络安全空间不能实现自主可控的话，将有很大的风险。换句话说，只要不是实现完全自主可控，就有随时被“黑” 的可能性。</w:t>
      </w:r>
    </w:p>
    <w:p w14:paraId="00040079">
      <w:pPr>
        <w:pStyle w:val="2"/>
        <w:rPr>
          <w:rFonts w:hint="eastAsia"/>
        </w:rPr>
      </w:pPr>
      <w:r>
        <w:rPr>
          <w:rFonts w:hint="eastAsia"/>
        </w:rPr>
        <w:t>自主可控需制订客观、科学的测评标准，并由第三方机构实行测评；在关系到网信安全的重要场合，自主可控测评可起“一票否决”作用。为了客观地、科学地评估自主可控程度，有关部门提出了实行多维度测评的要求，即除了以往已经实施的“质量测评”和“安全测评”外，再增加了“自主可控测评”。</w:t>
      </w:r>
    </w:p>
    <w:p w14:paraId="0AF11182">
      <w:pPr>
        <w:pStyle w:val="2"/>
        <w:rPr>
          <w:rFonts w:hint="eastAsia"/>
        </w:rPr>
      </w:pPr>
      <w:r>
        <w:rPr>
          <w:rFonts w:hint="eastAsia"/>
        </w:rPr>
        <w:t>因此，多维度测评包含：自主可控测评，即对产品/服务/系统的自主可控性进行评估，该评估既能够针对CPU、OS等核心技术产品，也能够针对其他软硬件或服务，甚至也可针对一个信息系统或一项信息基础设施；质量测评，即对产品/服务/系统的功能、性能等技术指标进行测评；安全测评，即对产品/服务/系统的安全性进行测评，此种测评往往是实施“等保”“分保”制度的必要内容。</w:t>
      </w:r>
    </w:p>
    <w:p w14:paraId="257579A7">
      <w:pPr>
        <w:pStyle w:val="5"/>
        <w:tabs>
          <w:tab w:val="left" w:pos="0"/>
          <w:tab w:val="left" w:pos="720"/>
        </w:tabs>
        <w:ind w:left="0"/>
        <w:rPr>
          <w:rFonts w:hint="eastAsia"/>
        </w:rPr>
      </w:pPr>
      <w:r>
        <w:rPr>
          <w:rFonts w:hint="eastAsia"/>
        </w:rPr>
        <w:t>进度管控和保密管理</w:t>
      </w:r>
    </w:p>
    <w:p w14:paraId="3D8D64C5">
      <w:pPr>
        <w:rPr>
          <w:rFonts w:hint="eastAsia"/>
        </w:rPr>
      </w:pPr>
      <w:r>
        <w:rPr>
          <w:rFonts w:hint="eastAsia"/>
        </w:rPr>
        <w:t>本次等保测评必须完成对本项目技术文件以及由用户提供的所有内部资料、技术文档和信息予以保密。</w:t>
      </w:r>
    </w:p>
    <w:p w14:paraId="71A35B4D">
      <w:pPr>
        <w:rPr>
          <w:rFonts w:hint="eastAsia"/>
        </w:rPr>
      </w:pPr>
      <w:r>
        <w:rPr>
          <w:rFonts w:hint="eastAsia"/>
        </w:rPr>
        <w:t>本次等保测评必须签订保密协议，未经用户书面许可，不得以任何形式向第三方透露本项目标书以及本项目的任何内容。</w:t>
      </w:r>
    </w:p>
    <w:p w14:paraId="03BD86B7">
      <w:pPr>
        <w:rPr>
          <w:rFonts w:hint="eastAsia"/>
        </w:rPr>
      </w:pPr>
      <w:r>
        <w:rPr>
          <w:rFonts w:hint="eastAsia"/>
        </w:rPr>
        <w:t>测评过程中提供的相关资料，医院与测评单位相互承担保密责任。</w:t>
      </w:r>
    </w:p>
    <w:p w14:paraId="4E1932B9">
      <w:pPr>
        <w:pStyle w:val="4"/>
        <w:rPr>
          <w:rFonts w:hint="eastAsia"/>
        </w:rPr>
      </w:pPr>
      <w:bookmarkStart w:id="14" w:name="_Toc176428591"/>
      <w:r>
        <w:rPr>
          <w:rFonts w:hint="eastAsia"/>
        </w:rPr>
        <w:t>系统需求分析</w:t>
      </w:r>
      <w:bookmarkEnd w:id="14"/>
      <w:r>
        <w:rPr>
          <w:rFonts w:hint="eastAsia"/>
        </w:rPr>
        <w:t xml:space="preserve"> </w:t>
      </w:r>
    </w:p>
    <w:p w14:paraId="722D438C">
      <w:pPr>
        <w:pStyle w:val="5"/>
        <w:tabs>
          <w:tab w:val="left" w:pos="0"/>
          <w:tab w:val="left" w:pos="720"/>
        </w:tabs>
        <w:ind w:left="0"/>
        <w:rPr>
          <w:rFonts w:hint="eastAsia"/>
        </w:rPr>
      </w:pPr>
      <w:r>
        <w:rPr>
          <w:rFonts w:hint="eastAsia"/>
        </w:rPr>
        <w:t>环境适配</w:t>
      </w:r>
    </w:p>
    <w:p w14:paraId="543F178B">
      <w:pPr>
        <w:pStyle w:val="2"/>
        <w:rPr>
          <w:rFonts w:hint="eastAsia"/>
        </w:rPr>
      </w:pPr>
      <w:r>
        <w:rPr>
          <w:rFonts w:hint="eastAsia"/>
        </w:rPr>
        <w:t>在等保测评中，安全计算环境控制项的内容在技术部分中是最多的，涉及到主机层面、应用层面、数据层面、备份恢复层面，这使得安全计算环境在等保建设中显得尤为重要。</w:t>
      </w:r>
    </w:p>
    <w:p w14:paraId="2C32A8D3">
      <w:pPr>
        <w:pStyle w:val="2"/>
        <w:rPr>
          <w:rFonts w:hint="eastAsia"/>
        </w:rPr>
      </w:pPr>
      <w:r>
        <w:rPr>
          <w:rFonts w:hint="eastAsia"/>
        </w:rPr>
        <w:t>通过对安全计算环境建设关键点的总结，进行等保三级建设时，安全计算环境相对等保二级建设强化了双因子认证、强制访问控制、数据完整性及保密性等方面的要求，这需要我们在进行等保建设时注重对网络、对业务系统的梳理，应用符合医院网络特点、业务特点的等保建设方案，根据医院等保定级进行建设，满足等保2.0及医院自身安全计算环境防护需求。</w:t>
      </w:r>
    </w:p>
    <w:p w14:paraId="121CD5AD">
      <w:pPr>
        <w:pStyle w:val="5"/>
        <w:tabs>
          <w:tab w:val="left" w:pos="0"/>
          <w:tab w:val="left" w:pos="720"/>
        </w:tabs>
        <w:ind w:left="0"/>
        <w:rPr>
          <w:rFonts w:hint="eastAsia"/>
        </w:rPr>
      </w:pPr>
      <w:r>
        <w:rPr>
          <w:rFonts w:hint="eastAsia"/>
        </w:rPr>
        <w:t>效能</w:t>
      </w:r>
    </w:p>
    <w:p w14:paraId="514E2E2B">
      <w:pPr>
        <w:pStyle w:val="2"/>
        <w:rPr>
          <w:rFonts w:hint="eastAsia"/>
        </w:rPr>
      </w:pPr>
      <w:r>
        <w:rPr>
          <w:rFonts w:hint="eastAsia"/>
        </w:rPr>
        <w:t>通过等保测评，我医院加强需要网络安全保护，确保信息系统的安全稳定运行，这为医院信息化技术水平的健康发展提供坚实的基础；通过等保测评的实施提高我医院的信息安全水平，保障我医院医疗服务的连续性和稳定性，从而提升公共服务的效率和质量。</w:t>
      </w:r>
    </w:p>
    <w:p w14:paraId="27B41704">
      <w:pPr>
        <w:rPr>
          <w:rFonts w:hint="eastAsia"/>
        </w:rPr>
      </w:pPr>
      <w:r>
        <w:rPr>
          <w:rFonts w:hint="eastAsia"/>
        </w:rPr>
        <w:t>等保测评在智慧医院建设中具有举足轻重的作用。它不仅确保了数据的安全与隐私保护，还推动了数据的共享与整合，提升了医院整体治理的效能。面对新技术环境下的挑战，我们需要不断加强技术研究和培训，建立全面的安全风险评估体系，加强数据安全和隐私保护，并严格遵守相关法律法规和标准。只有这样，我们才能更好地应对信息安全的挑战，推动智慧医院的信息化发展。</w:t>
      </w:r>
    </w:p>
    <w:p w14:paraId="43F1F559">
      <w:pPr>
        <w:pStyle w:val="5"/>
        <w:tabs>
          <w:tab w:val="left" w:pos="0"/>
          <w:tab w:val="left" w:pos="720"/>
        </w:tabs>
        <w:ind w:left="0"/>
        <w:rPr>
          <w:rFonts w:hint="eastAsia"/>
        </w:rPr>
      </w:pPr>
      <w:r>
        <w:rPr>
          <w:rFonts w:hint="eastAsia"/>
        </w:rPr>
        <w:t>完善体系</w:t>
      </w:r>
    </w:p>
    <w:p w14:paraId="4CE2A5B3">
      <w:pPr>
        <w:rPr>
          <w:rFonts w:hint="eastAsia"/>
        </w:rPr>
      </w:pPr>
      <w:r>
        <w:rPr>
          <w:rFonts w:hint="eastAsia"/>
        </w:rPr>
        <w:t>在数字化转型浪潮中，医院业面临着前所未有的机遇与挑战。信息安全作为医院发展的生命线，其重要性日益凸显。信息安全等级保护测评（简称“等保测评”）作为我国网络安全领域的基本国策之一，正驱动着医疗行业构建起坚固的全方位安全体系，确保医院平稳航行于数字蓝海。</w:t>
      </w:r>
    </w:p>
    <w:p w14:paraId="7F43AB6F">
      <w:pPr>
        <w:rPr>
          <w:rFonts w:hint="eastAsia"/>
        </w:rPr>
      </w:pPr>
      <w:r>
        <w:rPr>
          <w:rFonts w:hint="eastAsia"/>
        </w:rPr>
        <w:t>根据医院业务性质、信息系统重要程度及面临的风险，精准评估并确定等保等级，为后续工作奠定基础。</w:t>
      </w:r>
    </w:p>
    <w:p w14:paraId="4D69A365">
      <w:pPr>
        <w:rPr>
          <w:rFonts w:hint="eastAsia"/>
        </w:rPr>
      </w:pPr>
      <w:r>
        <w:rPr>
          <w:rFonts w:hint="eastAsia"/>
        </w:rPr>
        <w:t>强化基础安全防护，物理与环境安全：加强机房安全，确保物理访问控制和环境监测。网络架构安全：实施分区隔离、访问控制列表（ACL）、防火墙策略等，构建安全网络边界。</w:t>
      </w:r>
    </w:p>
    <w:p w14:paraId="07EFCF01">
      <w:pPr>
        <w:rPr>
          <w:rFonts w:hint="eastAsia"/>
        </w:rPr>
      </w:pPr>
      <w:r>
        <w:rPr>
          <w:rFonts w:hint="eastAsia"/>
        </w:rPr>
        <w:t>数据安全与隐私保护，加密技术：采用国产商用密码算法，实现数据传输与存储的加密保护。数据生命周期管理：从数据产生到销毁的全过程实施安全管理，确保数据合规性。</w:t>
      </w:r>
    </w:p>
    <w:p w14:paraId="27AAA85D">
      <w:pPr>
        <w:rPr>
          <w:rFonts w:hint="eastAsia"/>
        </w:rPr>
      </w:pPr>
      <w:r>
        <w:rPr>
          <w:rFonts w:hint="eastAsia"/>
        </w:rPr>
        <w:t>应用与系统安全，代码审计与漏洞扫描：定期进行应用代码审计，运用自动化工具扫描系统漏洞并及时修复。权限管理：实施最小权限原则，确保员工仅能访问完成工作所必需的信息资源。</w:t>
      </w:r>
    </w:p>
    <w:p w14:paraId="01825BE6">
      <w:pPr>
        <w:rPr>
          <w:rFonts w:hint="eastAsia"/>
        </w:rPr>
      </w:pPr>
      <w:r>
        <w:rPr>
          <w:rFonts w:hint="eastAsia"/>
        </w:rPr>
        <w:t>应急响应与持续改进，建立应急响应机制：制定详尽的应急预案，建立快速响应团队，定期进行实战演练。持续监控与审计：部署安全运营中心（SOC），实现24小时安全监控，定期进行等保自评与第三方测评。</w:t>
      </w:r>
    </w:p>
    <w:p w14:paraId="180726F4">
      <w:pPr>
        <w:rPr>
          <w:rFonts w:hint="eastAsia"/>
        </w:rPr>
      </w:pPr>
      <w:r>
        <w:rPr>
          <w:rFonts w:hint="eastAsia"/>
        </w:rPr>
        <w:t>等保测评不仅是医疗行业必须跨越的合规门槛，更是推动医院安全能力跃升的催化剂。通过构建并不断完善全方位的安全体系，医院不仅能够有效应对外部威胁，还能在激烈的市场竞争中稳固根基，把握住信息化发展的黄金机遇。</w:t>
      </w:r>
    </w:p>
    <w:p w14:paraId="289D576E">
      <w:pPr>
        <w:pStyle w:val="5"/>
        <w:tabs>
          <w:tab w:val="left" w:pos="0"/>
          <w:tab w:val="left" w:pos="720"/>
        </w:tabs>
        <w:ind w:left="0"/>
        <w:rPr>
          <w:rFonts w:hint="eastAsia"/>
        </w:rPr>
      </w:pPr>
      <w:r>
        <w:rPr>
          <w:rFonts w:hint="eastAsia"/>
        </w:rPr>
        <w:t>提升能力</w:t>
      </w:r>
    </w:p>
    <w:p w14:paraId="2B5B65DB">
      <w:pPr>
        <w:rPr>
          <w:rFonts w:hint="eastAsia"/>
        </w:rPr>
      </w:pPr>
      <w:r>
        <w:rPr>
          <w:rFonts w:hint="eastAsia"/>
        </w:rPr>
        <w:t>通过展示其在网络安全方面的努力和成就，我医院吸引更多的医疗服务能力和患者，促进了区域经济的多元化发展。</w:t>
      </w:r>
    </w:p>
    <w:p w14:paraId="0BAE3EB0">
      <w:pPr>
        <w:pStyle w:val="2"/>
        <w:rPr>
          <w:rFonts w:hint="eastAsia"/>
        </w:rPr>
      </w:pPr>
      <w:r>
        <w:rPr>
          <w:rFonts w:hint="eastAsia"/>
        </w:rPr>
        <w:t>等保测评为大数据、云计算等新兴技术的应用提供安全保障，有助于培育新的医疗业务增长点和业态。</w:t>
      </w:r>
    </w:p>
    <w:p w14:paraId="67BB6771">
      <w:pPr>
        <w:pStyle w:val="5"/>
        <w:tabs>
          <w:tab w:val="left" w:pos="0"/>
          <w:tab w:val="left" w:pos="720"/>
        </w:tabs>
        <w:ind w:left="0"/>
        <w:rPr>
          <w:rFonts w:hint="eastAsia"/>
        </w:rPr>
      </w:pPr>
      <w:r>
        <w:rPr>
          <w:rFonts w:hint="eastAsia"/>
        </w:rPr>
        <w:t>引领发展与成果共享</w:t>
      </w:r>
    </w:p>
    <w:p w14:paraId="1801FAA6">
      <w:pPr>
        <w:pStyle w:val="2"/>
        <w:rPr>
          <w:rFonts w:hint="eastAsia"/>
        </w:rPr>
      </w:pPr>
      <w:r>
        <w:rPr>
          <w:rFonts w:hint="eastAsia"/>
        </w:rPr>
        <w:t>等保测评在促进产业发展方面发挥着重要作用，主要体现在以下几个方面：</w:t>
      </w:r>
    </w:p>
    <w:p w14:paraId="1F7FEA6D">
      <w:pPr>
        <w:pStyle w:val="2"/>
        <w:rPr>
          <w:rFonts w:hint="eastAsia"/>
        </w:rPr>
      </w:pPr>
      <w:r>
        <w:rPr>
          <w:rFonts w:hint="eastAsia"/>
        </w:rPr>
        <w:t>资源有效利用：等保测评有助于医院明确信息安全的需求和重点，从而优化信息安全资源的配置。医院可以根据等保测评的结果，合理分配人力、物力和财力，确保关键信息系统的安全。</w:t>
      </w:r>
    </w:p>
    <w:p w14:paraId="006DDE58">
      <w:pPr>
        <w:pStyle w:val="2"/>
        <w:rPr>
          <w:rFonts w:hint="eastAsia"/>
        </w:rPr>
      </w:pPr>
      <w:r>
        <w:rPr>
          <w:rFonts w:hint="eastAsia"/>
        </w:rPr>
        <w:t>重点保障：等保测评强调对基础信息网络和关系国家安全、经济命脉、社会稳定等方面的重要信息系统的保护。这有助于引导医院和社会资源向这些关键领域倾斜，提高整体的信息安全防护水平。</w:t>
      </w:r>
    </w:p>
    <w:p w14:paraId="75DAD42D">
      <w:pPr>
        <w:pStyle w:val="2"/>
        <w:rPr>
          <w:rFonts w:hint="eastAsia"/>
        </w:rPr>
      </w:pPr>
      <w:r>
        <w:rPr>
          <w:rFonts w:hint="eastAsia"/>
        </w:rPr>
        <w:t>合规性要求：等保测评是国家对信息安全管理的重要要求之一。通过等保测评，医院可以确保其信息系统符合国家和地方的相关法规、政策以及标准的要求，避免因违规而面临的法律风险和经济损失。</w:t>
      </w:r>
    </w:p>
    <w:p w14:paraId="4C067137">
      <w:pPr>
        <w:pStyle w:val="2"/>
        <w:rPr>
          <w:rFonts w:hint="eastAsia"/>
        </w:rPr>
      </w:pPr>
      <w:r>
        <w:rPr>
          <w:rFonts w:hint="eastAsia"/>
        </w:rPr>
        <w:t>标准化推进：等保测评的实施促进了信息安全标准化的推进。通过制定和实施统一的等保标准和规范，可以确保不同行业、不同领域的信息系统在安全防护方面达到一致的水平，提高整个社会的信息安全防护能力。</w:t>
      </w:r>
    </w:p>
    <w:p w14:paraId="0FF12B0F">
      <w:pPr>
        <w:pStyle w:val="2"/>
        <w:rPr>
          <w:rFonts w:hint="eastAsia"/>
        </w:rPr>
      </w:pPr>
      <w:r>
        <w:rPr>
          <w:rFonts w:hint="eastAsia"/>
        </w:rPr>
        <w:t>发现并修复系统中存在的漏洞和安全隐患，提高系统的安全性；确定系统的安全评级和等级保护要求，为后续的保密工作提供依据；完善医院的信息安全管理体系，促进信息安全工作的规范化和持续性；建立与相关部门和团队的合作机制，形成信息共享和风险协同防控的机制。</w:t>
      </w:r>
    </w:p>
    <w:p w14:paraId="35987F63">
      <w:pPr>
        <w:pStyle w:val="5"/>
        <w:tabs>
          <w:tab w:val="left" w:pos="0"/>
          <w:tab w:val="left" w:pos="720"/>
        </w:tabs>
        <w:ind w:left="0"/>
        <w:rPr>
          <w:rFonts w:hint="eastAsia"/>
        </w:rPr>
      </w:pPr>
      <w:r>
        <w:rPr>
          <w:rFonts w:hint="eastAsia"/>
        </w:rPr>
        <w:t>转化应用</w:t>
      </w:r>
    </w:p>
    <w:p w14:paraId="7E070897">
      <w:pPr>
        <w:pStyle w:val="2"/>
        <w:rPr>
          <w:rFonts w:hint="eastAsia"/>
        </w:rPr>
      </w:pPr>
      <w:r>
        <w:rPr>
          <w:rFonts w:hint="eastAsia"/>
        </w:rPr>
        <w:t>医疗行业通过等保测评，着重保护电子病历、个人健康信息的安全。应用策略围绕数据加密存储、严格权限管理、医疗设备安全审计展开，确保医疗服务的连续性和患者隐私的保密性。</w:t>
      </w:r>
    </w:p>
    <w:p w14:paraId="2D0E91A0">
      <w:pPr>
        <w:pStyle w:val="5"/>
        <w:tabs>
          <w:tab w:val="left" w:pos="0"/>
          <w:tab w:val="left" w:pos="720"/>
        </w:tabs>
        <w:ind w:left="0"/>
        <w:rPr>
          <w:rFonts w:hint="eastAsia"/>
        </w:rPr>
      </w:pPr>
      <w:r>
        <w:rPr>
          <w:rFonts w:hint="eastAsia"/>
        </w:rPr>
        <w:t>成本控制与管理</w:t>
      </w:r>
    </w:p>
    <w:p w14:paraId="2ADE59CC">
      <w:pPr>
        <w:rPr>
          <w:rFonts w:hint="eastAsia"/>
        </w:rPr>
      </w:pPr>
      <w:r>
        <w:rPr>
          <w:rFonts w:hint="eastAsia"/>
        </w:rPr>
        <w:t>提前规划与准备，医院在面临等保测评时，首要任务是提前了解相关政策要求和测评流程，制定详细的规划和准备方案。明确测评的目标、范围、时间节点等关键要素，可以有效避免因准备不足而导致的额外成本和时间浪费。同时，通过内部培训或外部咨询，提升员工的安全意识和技能，为后续工作打下坚实基础。</w:t>
      </w:r>
    </w:p>
    <w:p w14:paraId="1AA669CA">
      <w:pPr>
        <w:rPr>
          <w:rFonts w:hint="eastAsia"/>
        </w:rPr>
      </w:pPr>
      <w:r>
        <w:rPr>
          <w:rFonts w:hint="eastAsia"/>
        </w:rPr>
        <w:t>合理选择测评机构，测评机构的选择直接关系到测评的质量和成本。医院应综合考虑机构的资质、经验、服务质量以及报价，选择具有丰富经验和专业技术的测评机构。这不仅能确保测评结果的准确性和权威性，还能在一定程度上降低因频繁整改而产生的额外成本。</w:t>
      </w:r>
    </w:p>
    <w:p w14:paraId="477692E1">
      <w:pPr>
        <w:rPr>
          <w:rFonts w:hint="eastAsia"/>
        </w:rPr>
      </w:pPr>
      <w:r>
        <w:rPr>
          <w:rFonts w:hint="eastAsia"/>
        </w:rPr>
        <w:t>精准定位等保级别和测评范围，医院应根据自身业务特点和信息资产价值，精准定位等保级别和测评范围。对于非关键系统，可以考虑采用简化措施或进行风险评估后适当降低要求，避免过度投入。</w:t>
      </w:r>
    </w:p>
    <w:p w14:paraId="7FC32055">
      <w:pPr>
        <w:rPr>
          <w:rFonts w:hint="eastAsia"/>
        </w:rPr>
      </w:pPr>
      <w:r>
        <w:rPr>
          <w:rFonts w:hint="eastAsia"/>
        </w:rPr>
        <w:t>成本控制策略与技术创新，在硬件升级和软件采购方面，医院应优先考虑性价比高的产品和方案，避免盲目追求高端配置。此外，通过技术创新和流程优化，可以降低运维成本和人力成本。例如，采用自动化工具进行漏洞扫描和风险评估，减少人工干预，提高工作效率。</w:t>
      </w:r>
    </w:p>
    <w:p w14:paraId="15DFAEC5">
      <w:pPr>
        <w:pStyle w:val="5"/>
        <w:tabs>
          <w:tab w:val="left" w:pos="0"/>
          <w:tab w:val="left" w:pos="720"/>
        </w:tabs>
        <w:ind w:left="0"/>
        <w:rPr>
          <w:rFonts w:hint="eastAsia"/>
        </w:rPr>
      </w:pPr>
      <w:r>
        <w:rPr>
          <w:rFonts w:hint="eastAsia"/>
        </w:rPr>
        <w:t>建设内容优化调整</w:t>
      </w:r>
    </w:p>
    <w:p w14:paraId="39287476">
      <w:pPr>
        <w:rPr>
          <w:rFonts w:hint="eastAsia"/>
        </w:rPr>
      </w:pPr>
      <w:r>
        <w:rPr>
          <w:rFonts w:hint="eastAsia"/>
        </w:rPr>
        <w:t>符合国家法律法规要求，通过等保测评，医院能够确保信息系统符合国家安全标准，避免因违规而遭受的法律风险和处罚。这不仅有助于维护医院的合法权益，还能提升医院的社会责任感和公信力。</w:t>
      </w:r>
    </w:p>
    <w:p w14:paraId="56C9848B">
      <w:pPr>
        <w:rPr>
          <w:rFonts w:hint="eastAsia"/>
        </w:rPr>
      </w:pPr>
      <w:r>
        <w:rPr>
          <w:rFonts w:hint="eastAsia"/>
        </w:rPr>
        <w:t>提升客户信任度，在数据泄露和网络攻击频发的背景下，医院的信息安全保障能力越来越重视。通过等保测评，医院能够提升患者对医院的信任度，增强市场竞争力。</w:t>
      </w:r>
    </w:p>
    <w:p w14:paraId="1F9C0C20">
      <w:pPr>
        <w:rPr>
          <w:rFonts w:hint="eastAsia"/>
        </w:rPr>
      </w:pPr>
      <w:r>
        <w:rPr>
          <w:rFonts w:hint="eastAsia"/>
        </w:rPr>
        <w:t>降低经济损失和声誉损失，</w:t>
      </w:r>
    </w:p>
    <w:p w14:paraId="2C447A1D">
      <w:pPr>
        <w:rPr>
          <w:rFonts w:hint="eastAsia"/>
        </w:rPr>
      </w:pPr>
      <w:r>
        <w:rPr>
          <w:rFonts w:hint="eastAsia"/>
        </w:rPr>
        <w:t>网络安全事件往往会给医院带来巨大的经济损失和声誉损失。等保测评帮助医院识别并整改安全隐患，增强抵御网络攻击和数据泄露的能力，从而有效降低潜在的经济损失和品牌声誉损害。</w:t>
      </w:r>
    </w:p>
    <w:p w14:paraId="73957580">
      <w:pPr>
        <w:rPr>
          <w:rFonts w:hint="eastAsia"/>
        </w:rPr>
      </w:pPr>
      <w:r>
        <w:rPr>
          <w:rFonts w:hint="eastAsia"/>
        </w:rPr>
        <w:t>促进内部管理优化，等保测评不仅关注技术层面的安全控制，还对医院的安全管理体系和流程进行全面评估。通过测评，医院可以发现内部管理中的薄弱环节，促进内部管理流程的优化，提升整体运营效率。</w:t>
      </w:r>
    </w:p>
    <w:p w14:paraId="26F5EA20">
      <w:pPr>
        <w:pStyle w:val="3"/>
        <w:rPr>
          <w:rFonts w:hint="eastAsia"/>
        </w:rPr>
      </w:pPr>
      <w:bookmarkStart w:id="15" w:name="_Toc176428592"/>
      <w:r>
        <w:rPr>
          <w:rFonts w:hint="eastAsia"/>
        </w:rPr>
        <w:t>建设方案</w:t>
      </w:r>
      <w:bookmarkEnd w:id="15"/>
    </w:p>
    <w:p w14:paraId="447C8A81">
      <w:pPr>
        <w:pStyle w:val="4"/>
        <w:rPr>
          <w:rFonts w:hint="eastAsia"/>
        </w:rPr>
      </w:pPr>
      <w:bookmarkStart w:id="16" w:name="_Toc176428593"/>
      <w:r>
        <w:rPr>
          <w:rFonts w:hint="eastAsia"/>
        </w:rPr>
        <w:t>建设原则和策略</w:t>
      </w:r>
      <w:bookmarkEnd w:id="16"/>
    </w:p>
    <w:p w14:paraId="5093BB22">
      <w:pPr>
        <w:rPr>
          <w:rFonts w:hint="eastAsia"/>
        </w:rPr>
      </w:pPr>
      <w:r>
        <w:rPr>
          <w:rFonts w:hint="eastAsia"/>
        </w:rPr>
        <w:t>为贯彻落实国务院147号令和中办27号文件，公安部会同有关部委出台了系列的文件以及具体工作的指导意见和规范,并在全国范围内组织完成了一系列工作。目前，信息安全等级保护工作已经进入安全建设整改阶段，公安部印发了《关于开展信息系统等级保护安全建设整改工作的指导意见》(公信安[2009]1429)，明确提出:“依据信息安全等级保护有关政策和标准，通过组织开展信息安全等级保护安全管理制度建设、技术措施建设和等级测评，落实等级保护制度的各项要求。</w:t>
      </w:r>
    </w:p>
    <w:p w14:paraId="4A679AAB">
      <w:pPr>
        <w:pStyle w:val="4"/>
        <w:rPr>
          <w:rFonts w:hint="eastAsia"/>
        </w:rPr>
      </w:pPr>
      <w:bookmarkStart w:id="17" w:name="_Toc176428594"/>
      <w:r>
        <w:rPr>
          <w:rFonts w:hint="eastAsia"/>
        </w:rPr>
        <w:t>项目建设目标</w:t>
      </w:r>
      <w:bookmarkEnd w:id="17"/>
    </w:p>
    <w:p w14:paraId="69B40F69">
      <w:pPr>
        <w:rPr>
          <w:rFonts w:hint="eastAsia" w:ascii="仿宋" w:hAnsi="仿宋"/>
          <w:szCs w:val="22"/>
        </w:rPr>
      </w:pPr>
      <w:r>
        <w:rPr>
          <w:rFonts w:hint="eastAsia" w:ascii="仿宋" w:hAnsi="仿宋"/>
          <w:szCs w:val="22"/>
        </w:rPr>
        <w:t>为了贯彻国家对网络安全保障工作的要求,医院委托第三方测评机构对医院信息系统进行安全等级保护测评。测评工作将依据等级保护的相关管理规范、技术标准，实施安全测评工作。安全测评范围包括被测系统相关的网络设备、安全设备、服务器设备等;测评内容涵盖安全物理环境、安全通信网络,安全区域边界、安全计算环境、安全管理电心以及信息安全管理等方面。测评完成后针对系统中存在的安全问题进行风险分析，提出整改意见，并最终形成安全等级测评报告。</w:t>
      </w:r>
    </w:p>
    <w:p w14:paraId="15BB2DE8">
      <w:pPr>
        <w:pStyle w:val="4"/>
        <w:rPr>
          <w:rFonts w:hint="eastAsia"/>
        </w:rPr>
      </w:pPr>
      <w:bookmarkStart w:id="18" w:name="_Toc176428595"/>
      <w:r>
        <w:rPr>
          <w:rFonts w:hint="eastAsia"/>
        </w:rPr>
        <w:t>国内外网络安全等级保护评测技术对比</w:t>
      </w:r>
      <w:bookmarkEnd w:id="18"/>
    </w:p>
    <w:p w14:paraId="7FADE70F">
      <w:pPr>
        <w:rPr>
          <w:rFonts w:hint="eastAsia" w:ascii="仿宋" w:hAnsi="仿宋"/>
          <w:szCs w:val="22"/>
        </w:rPr>
      </w:pPr>
      <w:r>
        <w:rPr>
          <w:rFonts w:hint="eastAsia" w:ascii="仿宋" w:hAnsi="仿宋"/>
          <w:szCs w:val="22"/>
        </w:rPr>
        <w:t>无对比，由国内有网络安全等级保护评测技术资质的企业完成。</w:t>
      </w:r>
    </w:p>
    <w:p w14:paraId="236D9977">
      <w:pPr>
        <w:pStyle w:val="4"/>
        <w:rPr>
          <w:rFonts w:hint="eastAsia"/>
        </w:rPr>
      </w:pPr>
      <w:bookmarkStart w:id="19" w:name="_Toc176428596"/>
      <w:r>
        <w:rPr>
          <w:rFonts w:hint="eastAsia"/>
        </w:rPr>
        <w:t>技术方案</w:t>
      </w:r>
      <w:bookmarkEnd w:id="19"/>
    </w:p>
    <w:p w14:paraId="6547EA33">
      <w:pPr>
        <w:rPr>
          <w:rFonts w:hint="eastAsia"/>
        </w:rPr>
      </w:pPr>
      <w:r>
        <w:rPr>
          <w:rFonts w:hint="eastAsia"/>
        </w:rPr>
        <w:t>信息系统的等级保护测评技术服务项目，包括评估和测评技术服务要求、加固整改要求、验收要求。</w:t>
      </w:r>
    </w:p>
    <w:p w14:paraId="20B4A2B6">
      <w:pPr>
        <w:rPr>
          <w:rFonts w:hint="eastAsia"/>
        </w:rPr>
      </w:pPr>
      <w:r>
        <w:rPr>
          <w:rFonts w:hint="eastAsia"/>
        </w:rPr>
        <w:t>等级保护测评工作需提交单位和公安部门认可的《等级保护测评报告》。</w:t>
      </w:r>
    </w:p>
    <w:p w14:paraId="72595449">
      <w:pPr>
        <w:pStyle w:val="5"/>
        <w:tabs>
          <w:tab w:val="left" w:pos="0"/>
          <w:tab w:val="left" w:pos="720"/>
        </w:tabs>
        <w:ind w:left="0"/>
        <w:rPr>
          <w:rFonts w:hint="eastAsia"/>
        </w:rPr>
      </w:pPr>
      <w:r>
        <w:rPr>
          <w:rFonts w:hint="eastAsia"/>
        </w:rPr>
        <w:t>系统架构</w:t>
      </w:r>
    </w:p>
    <w:p w14:paraId="18C85D74">
      <w:pPr>
        <w:pStyle w:val="2"/>
        <w:rPr>
          <w:rFonts w:hint="eastAsia"/>
        </w:rPr>
      </w:pPr>
      <w:r>
        <w:rPr>
          <w:rFonts w:hint="eastAsia"/>
        </w:rPr>
        <w:t>测评内容主要包括两个方面:一是单元测评,测评指标与《信息安全技术网络安全等级保护基本要求》(GB/T22239-2019)相应等级的基本要求完全一致:二是系统整体测评，主要测评分析信息系统的整体安全性。</w:t>
      </w:r>
    </w:p>
    <w:p w14:paraId="530181D6">
      <w:pPr>
        <w:pStyle w:val="2"/>
        <w:rPr>
          <w:rFonts w:hint="eastAsia"/>
        </w:rPr>
      </w:pPr>
      <w:r>
        <w:rPr>
          <w:rFonts w:hint="eastAsia"/>
        </w:rPr>
        <w:t>单元测评包括安全技术测评和安全管理测评两大部分，其中:</w:t>
      </w:r>
    </w:p>
    <w:p w14:paraId="534546A5">
      <w:pPr>
        <w:pStyle w:val="2"/>
        <w:rPr>
          <w:rFonts w:hint="eastAsia"/>
        </w:rPr>
      </w:pPr>
      <w:r>
        <w:rPr>
          <w:rFonts w:hint="eastAsia"/>
        </w:rPr>
        <w:t>安全技术测评层面主要包含:安全物理环境、安全通信网络、安全区域边界、安全计算环境、安全管理中心。</w:t>
      </w:r>
    </w:p>
    <w:p w14:paraId="355ECB3A">
      <w:pPr>
        <w:pStyle w:val="2"/>
        <w:rPr>
          <w:rFonts w:hint="eastAsia"/>
        </w:rPr>
      </w:pPr>
      <w:r>
        <w:rPr>
          <w:rFonts w:hint="eastAsia"/>
        </w:rPr>
        <w:t>安全管理测评层面主要包含:安全管理制度、安全管理机构、安全管理人员安全建设管理、安全运维管理。</w:t>
      </w:r>
    </w:p>
    <w:p w14:paraId="2752EF3E">
      <w:pPr>
        <w:pStyle w:val="2"/>
        <w:rPr>
          <w:rFonts w:hint="eastAsia"/>
        </w:rPr>
      </w:pPr>
      <w:r>
        <w:rPr>
          <w:rFonts w:hint="eastAsia"/>
        </w:rPr>
        <w:t>整体测评在单元测评的基础上进行进一步测评分析,在内容上主要包括安全控制间、层面间和区域间相互作用的安全测评以及系统结构的安全测评等。</w:t>
      </w:r>
    </w:p>
    <w:p w14:paraId="73FCF8F7">
      <w:pPr>
        <w:pStyle w:val="5"/>
        <w:tabs>
          <w:tab w:val="left" w:pos="0"/>
          <w:tab w:val="left" w:pos="720"/>
        </w:tabs>
        <w:ind w:left="0"/>
        <w:rPr>
          <w:rFonts w:hint="eastAsia"/>
        </w:rPr>
      </w:pPr>
      <w:r>
        <w:t>系统流程</w:t>
      </w:r>
    </w:p>
    <w:p w14:paraId="0E7F962E">
      <w:pPr>
        <w:rPr>
          <w:rFonts w:hint="eastAsia" w:ascii="仿宋" w:hAnsi="仿宋"/>
        </w:rPr>
      </w:pPr>
      <w:r>
        <w:rPr>
          <w:rFonts w:hint="eastAsia" w:ascii="仿宋" w:hAnsi="仿宋"/>
        </w:rPr>
        <w:t>网络安全等级保护测评流程如下图所示：</w:t>
      </w:r>
    </w:p>
    <w:p w14:paraId="252C4319">
      <w:pPr>
        <w:pStyle w:val="2"/>
        <w:ind w:firstLine="0" w:firstLineChars="0"/>
        <w:rPr>
          <w:rFonts w:hint="eastAsia"/>
        </w:rPr>
      </w:pPr>
      <w:r>
        <w:object>
          <v:shape id="_x0000_i1025" o:spt="75" type="#_x0000_t75" style="height:668.5pt;width:421.5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p>
    <w:p w14:paraId="4D68AE81">
      <w:pPr>
        <w:pStyle w:val="5"/>
        <w:tabs>
          <w:tab w:val="left" w:pos="0"/>
          <w:tab w:val="left" w:pos="720"/>
        </w:tabs>
        <w:ind w:left="0"/>
        <w:rPr>
          <w:rFonts w:hint="eastAsia"/>
        </w:rPr>
      </w:pPr>
      <w:r>
        <w:t>运行环境要求</w:t>
      </w:r>
    </w:p>
    <w:p w14:paraId="28E98085">
      <w:pPr>
        <w:pStyle w:val="2"/>
        <w:rPr>
          <w:rFonts w:hint="eastAsia"/>
        </w:rPr>
      </w:pPr>
      <w:r>
        <w:rPr>
          <w:rFonts w:hint="eastAsia"/>
        </w:rPr>
        <w:t>等保测评的运行环境要求包括安全物理环境、</w:t>
      </w:r>
      <w:r>
        <w:rPr>
          <w:rFonts w:hint="eastAsia" w:ascii="仿宋" w:hAnsi="仿宋" w:cs="仿宋"/>
        </w:rPr>
        <w:t>网络安全、系统安全、应用安全、数据安全等多个方面。</w:t>
      </w:r>
    </w:p>
    <w:p w14:paraId="2AFB2B73">
      <w:pPr>
        <w:pStyle w:val="2"/>
        <w:rPr>
          <w:rFonts w:hint="eastAsia"/>
        </w:rPr>
      </w:pPr>
      <w:r>
        <w:t>安全物理环境要求包括机房场地的选择应具有防震、</w:t>
      </w:r>
      <w:r>
        <w:rPr>
          <w:rFonts w:ascii="Times New Roman" w:hAnsi="Times New Roman"/>
        </w:rPr>
        <w:t>‌</w:t>
      </w:r>
      <w:r>
        <w:t>防风和防雨等能力，</w:t>
      </w:r>
      <w:r>
        <w:rPr>
          <w:rFonts w:ascii="Times New Roman" w:hAnsi="Times New Roman"/>
        </w:rPr>
        <w:t>‌</w:t>
      </w:r>
      <w:r>
        <w:t>避免设在建筑物的顶层或地下室，</w:t>
      </w:r>
      <w:r>
        <w:rPr>
          <w:rFonts w:ascii="Times New Roman" w:hAnsi="Times New Roman"/>
        </w:rPr>
        <w:t>‌</w:t>
      </w:r>
      <w:r>
        <w:t>并采取防水和防潮措施。</w:t>
      </w:r>
      <w:r>
        <w:rPr>
          <w:rFonts w:ascii="Times New Roman" w:hAnsi="Times New Roman"/>
        </w:rPr>
        <w:t>‌</w:t>
      </w:r>
      <w:r>
        <w:t>机房出入口应安排专人值守或配置电子门禁系统，</w:t>
      </w:r>
      <w:r>
        <w:rPr>
          <w:rFonts w:ascii="Times New Roman" w:hAnsi="Times New Roman"/>
        </w:rPr>
        <w:t>‌</w:t>
      </w:r>
      <w:r>
        <w:t>控制、</w:t>
      </w:r>
      <w:r>
        <w:rPr>
          <w:rFonts w:ascii="Times New Roman" w:hAnsi="Times New Roman"/>
        </w:rPr>
        <w:t>‌</w:t>
      </w:r>
      <w:r>
        <w:t>鉴别和记录进入的人员。</w:t>
      </w:r>
      <w:r>
        <w:rPr>
          <w:rFonts w:ascii="Times New Roman" w:hAnsi="Times New Roman"/>
        </w:rPr>
        <w:t>‌</w:t>
      </w:r>
      <w:r>
        <w:t>设备或主要部件应标识不易除去的标识，</w:t>
      </w:r>
      <w:r>
        <w:rPr>
          <w:rFonts w:ascii="Times New Roman" w:hAnsi="Times New Roman"/>
        </w:rPr>
        <w:t>‌</w:t>
      </w:r>
      <w:r>
        <w:t>通信线缆应铺设在隐藏安全处，</w:t>
      </w:r>
      <w:r>
        <w:rPr>
          <w:rFonts w:ascii="Times New Roman" w:hAnsi="Times New Roman"/>
        </w:rPr>
        <w:t>‌</w:t>
      </w:r>
      <w:r>
        <w:t>各类机柜、</w:t>
      </w:r>
      <w:r>
        <w:rPr>
          <w:rFonts w:ascii="Times New Roman" w:hAnsi="Times New Roman"/>
        </w:rPr>
        <w:t>‌</w:t>
      </w:r>
      <w:r>
        <w:t>设施和设备等应通过接地系统安全接地，</w:t>
      </w:r>
      <w:r>
        <w:rPr>
          <w:rFonts w:ascii="Times New Roman" w:hAnsi="Times New Roman"/>
        </w:rPr>
        <w:t>‌</w:t>
      </w:r>
      <w:r>
        <w:t>机房应设置火灾自动消防系统，</w:t>
      </w:r>
      <w:r>
        <w:rPr>
          <w:rFonts w:ascii="Times New Roman" w:hAnsi="Times New Roman"/>
        </w:rPr>
        <w:t>‌</w:t>
      </w:r>
      <w:r>
        <w:t>并能自动检测火情、</w:t>
      </w:r>
      <w:r>
        <w:rPr>
          <w:rFonts w:ascii="Times New Roman" w:hAnsi="Times New Roman"/>
        </w:rPr>
        <w:t>‌</w:t>
      </w:r>
      <w:r>
        <w:t>自动报警和自动灭火。</w:t>
      </w:r>
      <w:r>
        <w:rPr>
          <w:rFonts w:ascii="Times New Roman" w:hAnsi="Times New Roman"/>
        </w:rPr>
        <w:t>‌</w:t>
      </w:r>
      <w:r>
        <w:t>此外，</w:t>
      </w:r>
      <w:r>
        <w:rPr>
          <w:rFonts w:ascii="Times New Roman" w:hAnsi="Times New Roman"/>
        </w:rPr>
        <w:t>‌</w:t>
      </w:r>
      <w:r>
        <w:t>机房及相关的工作房间和辅助房应采用具有耐火等级的建筑材料，</w:t>
      </w:r>
      <w:r>
        <w:rPr>
          <w:rFonts w:ascii="Times New Roman" w:hAnsi="Times New Roman"/>
        </w:rPr>
        <w:t>‌</w:t>
      </w:r>
      <w:r>
        <w:t>采取措施防止雨水渗透和机房内水蒸气结露，</w:t>
      </w:r>
      <w:r>
        <w:rPr>
          <w:rFonts w:ascii="Times New Roman" w:hAnsi="Times New Roman"/>
        </w:rPr>
        <w:t>‌</w:t>
      </w:r>
      <w:r>
        <w:t>设置温湿</w:t>
      </w:r>
      <w:r>
        <w:rPr>
          <w:rFonts w:hint="eastAsia"/>
        </w:rPr>
        <w:t>度自动调节设施，</w:t>
      </w:r>
      <w:r>
        <w:rPr>
          <w:rFonts w:ascii="Courier New" w:hAnsi="Courier New" w:cs="Courier New"/>
        </w:rPr>
        <w:t>‌</w:t>
      </w:r>
      <w:r>
        <w:rPr>
          <w:rFonts w:hint="eastAsia" w:ascii="仿宋" w:hAnsi="仿宋" w:cs="仿宋"/>
        </w:rPr>
        <w:t>保持适宜的温度、湿度和洁净度等环境条件</w:t>
      </w:r>
      <w:r>
        <w:t>。</w:t>
      </w:r>
      <w:r>
        <w:rPr>
          <w:rFonts w:ascii="Times New Roman" w:hAnsi="Times New Roman"/>
        </w:rPr>
        <w:t>‌</w:t>
      </w:r>
    </w:p>
    <w:p w14:paraId="1924D40C">
      <w:pPr>
        <w:pStyle w:val="2"/>
        <w:rPr>
          <w:rFonts w:hint="eastAsia"/>
        </w:rPr>
      </w:pPr>
      <w:r>
        <w:t>网络安全要求包括网络拓扑结构应具有一定的抗攻击能力，</w:t>
      </w:r>
      <w:r>
        <w:rPr>
          <w:rFonts w:ascii="Times New Roman" w:hAnsi="Times New Roman"/>
        </w:rPr>
        <w:t>‌</w:t>
      </w:r>
      <w:r>
        <w:t>避免单一节点故障对整个网络的影响。</w:t>
      </w:r>
      <w:r>
        <w:rPr>
          <w:rFonts w:ascii="Times New Roman" w:hAnsi="Times New Roman"/>
        </w:rPr>
        <w:t>‌</w:t>
      </w:r>
      <w:r>
        <w:t>应配备防火墙、</w:t>
      </w:r>
      <w:r>
        <w:rPr>
          <w:rFonts w:ascii="Times New Roman" w:hAnsi="Times New Roman"/>
        </w:rPr>
        <w:t>‌</w:t>
      </w:r>
      <w:r>
        <w:t>入侵检测/防御系统、</w:t>
      </w:r>
      <w:r>
        <w:rPr>
          <w:rFonts w:ascii="Times New Roman" w:hAnsi="Times New Roman"/>
        </w:rPr>
        <w:t>‌</w:t>
      </w:r>
      <w:r>
        <w:t>病毒防护系统等网络安全设备，</w:t>
      </w:r>
      <w:r>
        <w:rPr>
          <w:rFonts w:ascii="Times New Roman" w:hAnsi="Times New Roman"/>
        </w:rPr>
        <w:t>‌</w:t>
      </w:r>
      <w:r>
        <w:t>实施访问控制策略，</w:t>
      </w:r>
      <w:r>
        <w:rPr>
          <w:rFonts w:ascii="Times New Roman" w:hAnsi="Times New Roman"/>
        </w:rPr>
        <w:t>‌</w:t>
      </w:r>
      <w:r>
        <w:t>对不同用户进行分级管理，</w:t>
      </w:r>
      <w:r>
        <w:rPr>
          <w:rFonts w:ascii="Times New Roman" w:hAnsi="Times New Roman"/>
        </w:rPr>
        <w:t>‌</w:t>
      </w:r>
      <w:r>
        <w:t>限制非法访问和恶意攻击。</w:t>
      </w:r>
      <w:r>
        <w:rPr>
          <w:rFonts w:ascii="Times New Roman" w:hAnsi="Times New Roman"/>
        </w:rPr>
        <w:t>‌</w:t>
      </w:r>
    </w:p>
    <w:p w14:paraId="3C22B3D4">
      <w:pPr>
        <w:pStyle w:val="2"/>
        <w:rPr>
          <w:rFonts w:hint="eastAsia"/>
        </w:rPr>
      </w:pPr>
      <w:r>
        <w:t>系统安全涉及操作系统安全、</w:t>
      </w:r>
      <w:r>
        <w:rPr>
          <w:rFonts w:ascii="Times New Roman" w:hAnsi="Times New Roman"/>
        </w:rPr>
        <w:t>‌</w:t>
      </w:r>
      <w:r>
        <w:t>数据库安全和应用软件安全。</w:t>
      </w:r>
      <w:r>
        <w:rPr>
          <w:rFonts w:ascii="Times New Roman" w:hAnsi="Times New Roman"/>
        </w:rPr>
        <w:t>‌</w:t>
      </w:r>
      <w:r>
        <w:t>应使用安全漏洞较少的操作系统，</w:t>
      </w:r>
      <w:r>
        <w:rPr>
          <w:rFonts w:ascii="Times New Roman" w:hAnsi="Times New Roman"/>
        </w:rPr>
        <w:t>‌</w:t>
      </w:r>
      <w:r>
        <w:t>如Linux、</w:t>
      </w:r>
      <w:r>
        <w:rPr>
          <w:rFonts w:ascii="Times New Roman" w:hAnsi="Times New Roman"/>
        </w:rPr>
        <w:t>‌</w:t>
      </w:r>
      <w:r>
        <w:t>Unix等，</w:t>
      </w:r>
      <w:r>
        <w:rPr>
          <w:rFonts w:ascii="Times New Roman" w:hAnsi="Times New Roman"/>
        </w:rPr>
        <w:t>‌</w:t>
      </w:r>
      <w:r>
        <w:t>并及时更新系统补丁和安全加固。</w:t>
      </w:r>
      <w:r>
        <w:rPr>
          <w:rFonts w:ascii="Times New Roman" w:hAnsi="Times New Roman"/>
        </w:rPr>
        <w:t>‌</w:t>
      </w:r>
      <w:r>
        <w:t>使用安全的数据库管理系统，</w:t>
      </w:r>
      <w:r>
        <w:rPr>
          <w:rFonts w:ascii="Times New Roman" w:hAnsi="Times New Roman"/>
        </w:rPr>
        <w:t>‌</w:t>
      </w:r>
      <w:r>
        <w:t>如Oracle、</w:t>
      </w:r>
      <w:r>
        <w:rPr>
          <w:rFonts w:ascii="Times New Roman" w:hAnsi="Times New Roman"/>
        </w:rPr>
        <w:t>‌</w:t>
      </w:r>
      <w:r>
        <w:t>MySQL等，</w:t>
      </w:r>
      <w:r>
        <w:rPr>
          <w:rFonts w:ascii="Times New Roman" w:hAnsi="Times New Roman"/>
        </w:rPr>
        <w:t>‌</w:t>
      </w:r>
      <w:r>
        <w:t>定期备份数据和更新密码等敏感信息。</w:t>
      </w:r>
      <w:r>
        <w:rPr>
          <w:rFonts w:ascii="Times New Roman" w:hAnsi="Times New Roman"/>
        </w:rPr>
        <w:t>‌</w:t>
      </w:r>
      <w:r>
        <w:t>应用软件应经过漏洞扫描和安全测试，</w:t>
      </w:r>
      <w:r>
        <w:rPr>
          <w:rFonts w:ascii="Times New Roman" w:hAnsi="Times New Roman"/>
        </w:rPr>
        <w:t>‌</w:t>
      </w:r>
      <w:r>
        <w:t>避免存在漏洞和恶意代码。</w:t>
      </w:r>
      <w:r>
        <w:rPr>
          <w:rFonts w:ascii="Times New Roman" w:hAnsi="Times New Roman"/>
        </w:rPr>
        <w:t>‌</w:t>
      </w:r>
    </w:p>
    <w:p w14:paraId="6D85A1B1">
      <w:pPr>
        <w:pStyle w:val="2"/>
        <w:rPr>
          <w:rFonts w:hint="eastAsia"/>
        </w:rPr>
      </w:pPr>
      <w:r>
        <w:t>应用安全要求应用系统实现身份认证功能，</w:t>
      </w:r>
      <w:r>
        <w:rPr>
          <w:rFonts w:ascii="Times New Roman" w:hAnsi="Times New Roman"/>
        </w:rPr>
        <w:t>‌</w:t>
      </w:r>
      <w:r>
        <w:t>对用户进行身份识别和权限控制，</w:t>
      </w:r>
      <w:r>
        <w:rPr>
          <w:rFonts w:ascii="Times New Roman" w:hAnsi="Times New Roman"/>
        </w:rPr>
        <w:t>‌</w:t>
      </w:r>
      <w:r>
        <w:t>避免未经授权的访问。</w:t>
      </w:r>
      <w:r>
        <w:rPr>
          <w:rFonts w:ascii="Times New Roman" w:hAnsi="Times New Roman"/>
        </w:rPr>
        <w:t>‌</w:t>
      </w:r>
      <w:r>
        <w:t>采用数据加密技术对敏感数据进行加密存储和传输，</w:t>
      </w:r>
      <w:r>
        <w:rPr>
          <w:rFonts w:ascii="Times New Roman" w:hAnsi="Times New Roman"/>
        </w:rPr>
        <w:t>‌</w:t>
      </w:r>
      <w:r>
        <w:t>实现安全审计功能，</w:t>
      </w:r>
      <w:r>
        <w:rPr>
          <w:rFonts w:ascii="Times New Roman" w:hAnsi="Times New Roman"/>
        </w:rPr>
        <w:t>‌</w:t>
      </w:r>
      <w:r>
        <w:t>记录用户操作日志和异常行为，</w:t>
      </w:r>
      <w:r>
        <w:rPr>
          <w:rFonts w:ascii="Times New Roman" w:hAnsi="Times New Roman"/>
        </w:rPr>
        <w:t>‌</w:t>
      </w:r>
      <w:r>
        <w:t>以便及时发现和处理安全事件。</w:t>
      </w:r>
      <w:r>
        <w:rPr>
          <w:rFonts w:ascii="Times New Roman" w:hAnsi="Times New Roman"/>
        </w:rPr>
        <w:t>‌</w:t>
      </w:r>
    </w:p>
    <w:p w14:paraId="11135F5B">
      <w:pPr>
        <w:pStyle w:val="2"/>
        <w:rPr>
          <w:rFonts w:hint="eastAsia"/>
        </w:rPr>
      </w:pPr>
      <w:r>
        <w:t>数据安全要求定期备份数据，</w:t>
      </w:r>
      <w:r>
        <w:rPr>
          <w:rFonts w:ascii="Times New Roman" w:hAnsi="Times New Roman"/>
        </w:rPr>
        <w:t>‌</w:t>
      </w:r>
      <w:r>
        <w:t>保证备份数据的可用性和完整性。</w:t>
      </w:r>
      <w:r>
        <w:rPr>
          <w:rFonts w:ascii="Times New Roman" w:hAnsi="Times New Roman"/>
        </w:rPr>
        <w:t>‌</w:t>
      </w:r>
      <w:r>
        <w:t>敏感数据采用数据加密技术进行加密存储和传输，</w:t>
      </w:r>
      <w:r>
        <w:rPr>
          <w:rFonts w:ascii="Times New Roman" w:hAnsi="Times New Roman"/>
        </w:rPr>
        <w:t>‌</w:t>
      </w:r>
      <w:r>
        <w:t>不再使用的数据进行销毁处理，</w:t>
      </w:r>
      <w:r>
        <w:rPr>
          <w:rFonts w:ascii="Times New Roman" w:hAnsi="Times New Roman"/>
        </w:rPr>
        <w:t>‌</w:t>
      </w:r>
      <w:r>
        <w:t>避免数据泄露和信息残留。</w:t>
      </w:r>
      <w:r>
        <w:rPr>
          <w:rFonts w:ascii="Times New Roman" w:hAnsi="Times New Roman"/>
        </w:rPr>
        <w:t>‌</w:t>
      </w:r>
    </w:p>
    <w:p w14:paraId="03047451">
      <w:pPr>
        <w:pStyle w:val="2"/>
        <w:rPr>
          <w:rFonts w:hint="eastAsia"/>
        </w:rPr>
      </w:pPr>
      <w:r>
        <w:rPr>
          <w:rFonts w:hint="eastAsia"/>
        </w:rPr>
        <w:t>这些要求确保了信息系统的物理和环境安全、</w:t>
      </w:r>
      <w:r>
        <w:rPr>
          <w:rFonts w:hint="eastAsia" w:ascii="仿宋" w:hAnsi="仿宋" w:cs="仿宋"/>
        </w:rPr>
        <w:t>网络安全、系统安全、应用安全和数据安全，为等保测评提供了一个安全可靠的运行环境。</w:t>
      </w:r>
    </w:p>
    <w:p w14:paraId="12782E30">
      <w:pPr>
        <w:pStyle w:val="5"/>
        <w:tabs>
          <w:tab w:val="left" w:pos="0"/>
          <w:tab w:val="left" w:pos="720"/>
        </w:tabs>
        <w:ind w:left="0"/>
        <w:rPr>
          <w:rFonts w:hint="eastAsia" w:asciiTheme="minorEastAsia" w:hAnsiTheme="minorEastAsia" w:cstheme="minorEastAsia"/>
        </w:rPr>
      </w:pPr>
      <w:r>
        <w:t>系统功能介绍</w:t>
      </w:r>
    </w:p>
    <w:p w14:paraId="4C8A3FD5">
      <w:pPr>
        <w:rPr>
          <w:rFonts w:hint="eastAsia" w:asciiTheme="minorEastAsia" w:hAnsiTheme="minorEastAsia" w:cstheme="minorEastAsia"/>
        </w:rPr>
      </w:pPr>
      <w:r>
        <w:rPr>
          <w:rFonts w:hint="eastAsia" w:asciiTheme="minorEastAsia" w:hAnsiTheme="minorEastAsia" w:cstheme="minorEastAsia"/>
        </w:rPr>
        <w:t>本次测评工作清单如下：</w:t>
      </w:r>
    </w:p>
    <w:tbl>
      <w:tblPr>
        <w:tblStyle w:val="21"/>
        <w:tblW w:w="8437" w:type="dxa"/>
        <w:tblInd w:w="0" w:type="dxa"/>
        <w:tblLayout w:type="fixed"/>
        <w:tblCellMar>
          <w:top w:w="0" w:type="dxa"/>
          <w:left w:w="30" w:type="dxa"/>
          <w:bottom w:w="0" w:type="dxa"/>
          <w:right w:w="30" w:type="dxa"/>
        </w:tblCellMar>
      </w:tblPr>
      <w:tblGrid>
        <w:gridCol w:w="701"/>
        <w:gridCol w:w="2210"/>
        <w:gridCol w:w="750"/>
        <w:gridCol w:w="584"/>
        <w:gridCol w:w="4192"/>
      </w:tblGrid>
      <w:tr w14:paraId="09016931">
        <w:tblPrEx>
          <w:tblCellMar>
            <w:top w:w="0" w:type="dxa"/>
            <w:left w:w="30" w:type="dxa"/>
            <w:bottom w:w="0" w:type="dxa"/>
            <w:right w:w="30" w:type="dxa"/>
          </w:tblCellMar>
        </w:tblPrEx>
        <w:trPr>
          <w:trHeight w:val="563" w:hRule="exact"/>
          <w:tblHeader/>
        </w:trPr>
        <w:tc>
          <w:tcPr>
            <w:tcW w:w="701" w:type="dxa"/>
            <w:tcBorders>
              <w:top w:val="single" w:color="auto" w:sz="6" w:space="0"/>
              <w:left w:val="single" w:color="auto" w:sz="6" w:space="0"/>
              <w:bottom w:val="single" w:color="auto" w:sz="6" w:space="0"/>
              <w:right w:val="single" w:color="auto" w:sz="6" w:space="0"/>
            </w:tcBorders>
            <w:vAlign w:val="center"/>
          </w:tcPr>
          <w:p w14:paraId="3D81DB66">
            <w:pPr>
              <w:autoSpaceDE w:val="0"/>
              <w:autoSpaceDN w:val="0"/>
              <w:ind w:firstLine="0" w:firstLineChars="0"/>
              <w:jc w:val="center"/>
              <w:rPr>
                <w:rFonts w:hint="eastAsia" w:asciiTheme="minorEastAsia" w:hAnsiTheme="minorEastAsia" w:cstheme="minorEastAsia"/>
              </w:rPr>
            </w:pPr>
            <w:r>
              <w:rPr>
                <w:rFonts w:hint="eastAsia" w:asciiTheme="minorEastAsia" w:hAnsiTheme="minorEastAsia" w:cstheme="minorEastAsia"/>
              </w:rPr>
              <w:t>序号</w:t>
            </w:r>
          </w:p>
        </w:tc>
        <w:tc>
          <w:tcPr>
            <w:tcW w:w="2210" w:type="dxa"/>
            <w:tcBorders>
              <w:top w:val="single" w:color="auto" w:sz="6" w:space="0"/>
              <w:left w:val="single" w:color="auto" w:sz="6" w:space="0"/>
              <w:bottom w:val="single" w:color="auto" w:sz="6" w:space="0"/>
              <w:right w:val="single" w:color="auto" w:sz="6" w:space="0"/>
            </w:tcBorders>
            <w:vAlign w:val="center"/>
          </w:tcPr>
          <w:p w14:paraId="7391A5CD">
            <w:pPr>
              <w:autoSpaceDE w:val="0"/>
              <w:autoSpaceDN w:val="0"/>
              <w:ind w:firstLine="0" w:firstLineChars="0"/>
              <w:jc w:val="center"/>
              <w:rPr>
                <w:rFonts w:hint="eastAsia" w:asciiTheme="minorEastAsia" w:hAnsiTheme="minorEastAsia" w:cstheme="minorEastAsia"/>
              </w:rPr>
            </w:pPr>
            <w:r>
              <w:rPr>
                <w:rFonts w:hint="eastAsia" w:asciiTheme="minorEastAsia" w:hAnsiTheme="minorEastAsia" w:cstheme="minorEastAsia"/>
              </w:rPr>
              <w:t>名称</w:t>
            </w:r>
          </w:p>
        </w:tc>
        <w:tc>
          <w:tcPr>
            <w:tcW w:w="750" w:type="dxa"/>
            <w:tcBorders>
              <w:top w:val="single" w:color="auto" w:sz="6" w:space="0"/>
              <w:left w:val="single" w:color="auto" w:sz="6" w:space="0"/>
              <w:bottom w:val="single" w:color="auto" w:sz="6" w:space="0"/>
              <w:right w:val="single" w:color="auto" w:sz="6" w:space="0"/>
            </w:tcBorders>
            <w:vAlign w:val="center"/>
          </w:tcPr>
          <w:p w14:paraId="4044AE95">
            <w:pPr>
              <w:autoSpaceDE w:val="0"/>
              <w:autoSpaceDN w:val="0"/>
              <w:ind w:firstLine="0" w:firstLineChars="0"/>
              <w:jc w:val="center"/>
              <w:rPr>
                <w:rFonts w:hint="eastAsia" w:asciiTheme="minorEastAsia" w:hAnsiTheme="minorEastAsia" w:cstheme="minorEastAsia"/>
              </w:rPr>
            </w:pPr>
            <w:r>
              <w:rPr>
                <w:rFonts w:hint="eastAsia" w:asciiTheme="minorEastAsia" w:hAnsiTheme="minorEastAsia" w:cstheme="minorEastAsia"/>
              </w:rPr>
              <w:t>单位</w:t>
            </w:r>
          </w:p>
        </w:tc>
        <w:tc>
          <w:tcPr>
            <w:tcW w:w="584" w:type="dxa"/>
            <w:tcBorders>
              <w:top w:val="single" w:color="auto" w:sz="6" w:space="0"/>
              <w:left w:val="single" w:color="auto" w:sz="6" w:space="0"/>
              <w:bottom w:val="single" w:color="auto" w:sz="6" w:space="0"/>
              <w:right w:val="single" w:color="auto" w:sz="6" w:space="0"/>
            </w:tcBorders>
            <w:vAlign w:val="center"/>
          </w:tcPr>
          <w:p w14:paraId="106E347D">
            <w:pPr>
              <w:autoSpaceDE w:val="0"/>
              <w:autoSpaceDN w:val="0"/>
              <w:ind w:firstLine="0" w:firstLineChars="0"/>
              <w:jc w:val="center"/>
              <w:rPr>
                <w:rFonts w:hint="eastAsia" w:asciiTheme="minorEastAsia" w:hAnsiTheme="minorEastAsia" w:cstheme="minorEastAsia"/>
              </w:rPr>
            </w:pPr>
            <w:r>
              <w:rPr>
                <w:rFonts w:hint="eastAsia" w:asciiTheme="minorEastAsia" w:hAnsiTheme="minorEastAsia" w:cstheme="minorEastAsia"/>
              </w:rPr>
              <w:t>数量</w:t>
            </w:r>
          </w:p>
        </w:tc>
        <w:tc>
          <w:tcPr>
            <w:tcW w:w="4192" w:type="dxa"/>
            <w:tcBorders>
              <w:top w:val="single" w:color="auto" w:sz="6" w:space="0"/>
              <w:left w:val="single" w:color="auto" w:sz="6" w:space="0"/>
              <w:bottom w:val="single" w:color="auto" w:sz="6" w:space="0"/>
              <w:right w:val="single" w:color="auto" w:sz="6" w:space="0"/>
            </w:tcBorders>
            <w:vAlign w:val="center"/>
          </w:tcPr>
          <w:p w14:paraId="3A91294E">
            <w:pPr>
              <w:autoSpaceDE w:val="0"/>
              <w:autoSpaceDN w:val="0"/>
              <w:ind w:firstLine="0" w:firstLineChars="0"/>
              <w:jc w:val="center"/>
              <w:rPr>
                <w:rFonts w:hint="eastAsia" w:asciiTheme="minorEastAsia" w:hAnsiTheme="minorEastAsia" w:cstheme="minorEastAsia"/>
              </w:rPr>
            </w:pPr>
            <w:r>
              <w:rPr>
                <w:rFonts w:hint="eastAsia" w:asciiTheme="minorEastAsia" w:hAnsiTheme="minorEastAsia" w:cstheme="minorEastAsia"/>
              </w:rPr>
              <w:t>备注</w:t>
            </w:r>
          </w:p>
        </w:tc>
      </w:tr>
      <w:tr w14:paraId="724A685C">
        <w:tblPrEx>
          <w:tblCellMar>
            <w:top w:w="0" w:type="dxa"/>
            <w:left w:w="30" w:type="dxa"/>
            <w:bottom w:w="0" w:type="dxa"/>
            <w:right w:w="30" w:type="dxa"/>
          </w:tblCellMar>
        </w:tblPrEx>
        <w:trPr>
          <w:trHeight w:val="1883" w:hRule="exact"/>
          <w:tblHeader/>
        </w:trPr>
        <w:tc>
          <w:tcPr>
            <w:tcW w:w="701" w:type="dxa"/>
            <w:tcBorders>
              <w:top w:val="single" w:color="auto" w:sz="6" w:space="0"/>
              <w:left w:val="single" w:color="auto" w:sz="6" w:space="0"/>
              <w:bottom w:val="single" w:color="auto" w:sz="6" w:space="0"/>
              <w:right w:val="single" w:color="auto" w:sz="6" w:space="0"/>
            </w:tcBorders>
            <w:vAlign w:val="center"/>
          </w:tcPr>
          <w:p w14:paraId="04C80840">
            <w:pPr>
              <w:autoSpaceDE w:val="0"/>
              <w:autoSpaceDN w:val="0"/>
              <w:ind w:firstLine="0" w:firstLineChars="0"/>
              <w:jc w:val="center"/>
              <w:rPr>
                <w:rFonts w:hint="eastAsia" w:asciiTheme="minorEastAsia" w:hAnsiTheme="minorEastAsia" w:cstheme="minorEastAsia"/>
              </w:rPr>
            </w:pPr>
            <w:r>
              <w:rPr>
                <w:rFonts w:hint="eastAsia" w:asciiTheme="minorEastAsia" w:hAnsiTheme="minorEastAsia" w:cstheme="minorEastAsia"/>
              </w:rPr>
              <w:t>1</w:t>
            </w:r>
          </w:p>
        </w:tc>
        <w:tc>
          <w:tcPr>
            <w:tcW w:w="2210" w:type="dxa"/>
            <w:tcBorders>
              <w:top w:val="single" w:color="auto" w:sz="6" w:space="0"/>
              <w:left w:val="single" w:color="auto" w:sz="6" w:space="0"/>
              <w:bottom w:val="single" w:color="auto" w:sz="6" w:space="0"/>
              <w:right w:val="single" w:color="auto" w:sz="6" w:space="0"/>
            </w:tcBorders>
            <w:vAlign w:val="center"/>
          </w:tcPr>
          <w:p w14:paraId="663F7515">
            <w:pPr>
              <w:autoSpaceDE w:val="0"/>
              <w:autoSpaceDN w:val="0"/>
              <w:ind w:firstLine="0" w:firstLineChars="0"/>
              <w:jc w:val="left"/>
              <w:rPr>
                <w:rFonts w:hint="eastAsia" w:asciiTheme="minorEastAsia" w:hAnsiTheme="minorEastAsia" w:cstheme="minorEastAsia"/>
                <w:highlight w:val="none"/>
              </w:rPr>
            </w:pPr>
            <w:r>
              <w:rPr>
                <w:rFonts w:hint="eastAsia" w:asciiTheme="minorEastAsia" w:hAnsiTheme="minorEastAsia" w:cstheme="minorEastAsia"/>
                <w:highlight w:val="none"/>
              </w:rPr>
              <w:t>HIS系统等级保护测评(3级)</w:t>
            </w:r>
          </w:p>
        </w:tc>
        <w:tc>
          <w:tcPr>
            <w:tcW w:w="750" w:type="dxa"/>
            <w:tcBorders>
              <w:top w:val="single" w:color="auto" w:sz="6" w:space="0"/>
              <w:left w:val="single" w:color="auto" w:sz="6" w:space="0"/>
              <w:bottom w:val="single" w:color="auto" w:sz="6" w:space="0"/>
              <w:right w:val="single" w:color="auto" w:sz="6" w:space="0"/>
            </w:tcBorders>
            <w:vAlign w:val="center"/>
          </w:tcPr>
          <w:p w14:paraId="6BD17956">
            <w:pPr>
              <w:autoSpaceDE w:val="0"/>
              <w:autoSpaceDN w:val="0"/>
              <w:ind w:firstLine="0" w:firstLineChars="0"/>
              <w:jc w:val="center"/>
              <w:rPr>
                <w:rFonts w:hint="eastAsia" w:asciiTheme="minorEastAsia" w:hAnsiTheme="minorEastAsia" w:cstheme="minorEastAsia"/>
              </w:rPr>
            </w:pPr>
            <w:r>
              <w:rPr>
                <w:rFonts w:hint="eastAsia" w:asciiTheme="minorEastAsia" w:hAnsiTheme="minorEastAsia" w:cstheme="minorEastAsia"/>
              </w:rPr>
              <w:t>项</w:t>
            </w:r>
          </w:p>
        </w:tc>
        <w:tc>
          <w:tcPr>
            <w:tcW w:w="584" w:type="dxa"/>
            <w:tcBorders>
              <w:top w:val="single" w:color="auto" w:sz="6" w:space="0"/>
              <w:left w:val="single" w:color="auto" w:sz="6" w:space="0"/>
              <w:bottom w:val="single" w:color="auto" w:sz="6" w:space="0"/>
              <w:right w:val="single" w:color="auto" w:sz="6" w:space="0"/>
            </w:tcBorders>
            <w:vAlign w:val="center"/>
          </w:tcPr>
          <w:p w14:paraId="62B1E03C">
            <w:pPr>
              <w:autoSpaceDE w:val="0"/>
              <w:autoSpaceDN w:val="0"/>
              <w:ind w:firstLine="0" w:firstLineChars="0"/>
              <w:jc w:val="center"/>
              <w:rPr>
                <w:rFonts w:hint="eastAsia" w:asciiTheme="minorEastAsia" w:hAnsiTheme="minorEastAsia" w:cstheme="minorEastAsia"/>
              </w:rPr>
            </w:pPr>
            <w:r>
              <w:rPr>
                <w:rFonts w:hint="eastAsia" w:asciiTheme="minorEastAsia" w:hAnsiTheme="minorEastAsia" w:cstheme="minorEastAsia"/>
              </w:rPr>
              <w:t>1</w:t>
            </w:r>
          </w:p>
        </w:tc>
        <w:tc>
          <w:tcPr>
            <w:tcW w:w="4192" w:type="dxa"/>
            <w:tcBorders>
              <w:top w:val="single" w:color="auto" w:sz="6" w:space="0"/>
              <w:left w:val="single" w:color="auto" w:sz="6" w:space="0"/>
              <w:bottom w:val="single" w:color="auto" w:sz="6" w:space="0"/>
              <w:right w:val="single" w:color="auto" w:sz="6" w:space="0"/>
            </w:tcBorders>
            <w:vAlign w:val="center"/>
          </w:tcPr>
          <w:p w14:paraId="45EF7BAC">
            <w:pPr>
              <w:autoSpaceDE w:val="0"/>
              <w:autoSpaceDN w:val="0"/>
              <w:ind w:firstLine="0" w:firstLineChars="0"/>
              <w:jc w:val="left"/>
              <w:rPr>
                <w:rFonts w:hint="eastAsia" w:asciiTheme="minorEastAsia" w:hAnsiTheme="minorEastAsia" w:cstheme="minorEastAsia"/>
              </w:rPr>
            </w:pPr>
            <w:r>
              <w:rPr>
                <w:rFonts w:hint="eastAsia" w:asciiTheme="minorEastAsia" w:hAnsiTheme="minorEastAsia" w:cstheme="minorEastAsia"/>
              </w:rPr>
              <w:t>提交相关系统《等级保护测评报告》，通过单位相关部门的验收。</w:t>
            </w:r>
          </w:p>
        </w:tc>
      </w:tr>
      <w:tr w14:paraId="2A966AB6">
        <w:tblPrEx>
          <w:tblCellMar>
            <w:top w:w="0" w:type="dxa"/>
            <w:left w:w="30" w:type="dxa"/>
            <w:bottom w:w="0" w:type="dxa"/>
            <w:right w:w="30" w:type="dxa"/>
          </w:tblCellMar>
        </w:tblPrEx>
        <w:trPr>
          <w:trHeight w:val="2318" w:hRule="exact"/>
          <w:tblHeader/>
        </w:trPr>
        <w:tc>
          <w:tcPr>
            <w:tcW w:w="701" w:type="dxa"/>
            <w:tcBorders>
              <w:top w:val="single" w:color="auto" w:sz="6" w:space="0"/>
              <w:left w:val="single" w:color="auto" w:sz="6" w:space="0"/>
              <w:bottom w:val="single" w:color="auto" w:sz="6" w:space="0"/>
              <w:right w:val="single" w:color="auto" w:sz="6" w:space="0"/>
            </w:tcBorders>
            <w:vAlign w:val="center"/>
          </w:tcPr>
          <w:p w14:paraId="707AB82C">
            <w:pPr>
              <w:autoSpaceDE w:val="0"/>
              <w:autoSpaceDN w:val="0"/>
              <w:ind w:firstLine="0" w:firstLineChars="0"/>
              <w:jc w:val="center"/>
              <w:rPr>
                <w:rFonts w:hint="eastAsia" w:asciiTheme="minorEastAsia" w:hAnsiTheme="minorEastAsia" w:cstheme="minorEastAsia"/>
              </w:rPr>
            </w:pPr>
            <w:r>
              <w:rPr>
                <w:rFonts w:hint="eastAsia" w:asciiTheme="minorEastAsia" w:hAnsiTheme="minorEastAsia" w:cstheme="minorEastAsia"/>
              </w:rPr>
              <w:t>2</w:t>
            </w:r>
          </w:p>
        </w:tc>
        <w:tc>
          <w:tcPr>
            <w:tcW w:w="2210" w:type="dxa"/>
            <w:tcBorders>
              <w:top w:val="single" w:color="auto" w:sz="6" w:space="0"/>
              <w:left w:val="single" w:color="auto" w:sz="6" w:space="0"/>
              <w:bottom w:val="single" w:color="auto" w:sz="6" w:space="0"/>
              <w:right w:val="single" w:color="auto" w:sz="6" w:space="0"/>
            </w:tcBorders>
            <w:vAlign w:val="center"/>
          </w:tcPr>
          <w:p w14:paraId="28021B8C">
            <w:pPr>
              <w:autoSpaceDE w:val="0"/>
              <w:autoSpaceDN w:val="0"/>
              <w:ind w:firstLine="0" w:firstLineChars="0"/>
              <w:jc w:val="left"/>
              <w:rPr>
                <w:rFonts w:hint="eastAsia" w:asciiTheme="minorEastAsia" w:hAnsiTheme="minorEastAsia" w:cstheme="minorEastAsia"/>
                <w:highlight w:val="none"/>
              </w:rPr>
            </w:pPr>
            <w:r>
              <w:rPr>
                <w:rFonts w:hint="eastAsia" w:asciiTheme="minorEastAsia" w:hAnsiTheme="minorEastAsia" w:cstheme="minorEastAsia"/>
                <w:highlight w:val="none"/>
              </w:rPr>
              <w:t>电子病历系统等级保护测评(3级)</w:t>
            </w:r>
          </w:p>
        </w:tc>
        <w:tc>
          <w:tcPr>
            <w:tcW w:w="750" w:type="dxa"/>
            <w:tcBorders>
              <w:top w:val="single" w:color="auto" w:sz="6" w:space="0"/>
              <w:left w:val="single" w:color="auto" w:sz="6" w:space="0"/>
              <w:bottom w:val="single" w:color="auto" w:sz="6" w:space="0"/>
              <w:right w:val="single" w:color="auto" w:sz="6" w:space="0"/>
            </w:tcBorders>
            <w:vAlign w:val="center"/>
          </w:tcPr>
          <w:p w14:paraId="3437A977">
            <w:pPr>
              <w:autoSpaceDE w:val="0"/>
              <w:autoSpaceDN w:val="0"/>
              <w:ind w:firstLine="0" w:firstLineChars="0"/>
              <w:jc w:val="center"/>
              <w:rPr>
                <w:rFonts w:hint="eastAsia" w:asciiTheme="minorEastAsia" w:hAnsiTheme="minorEastAsia" w:cstheme="minorEastAsia"/>
              </w:rPr>
            </w:pPr>
            <w:r>
              <w:rPr>
                <w:rFonts w:hint="eastAsia" w:asciiTheme="minorEastAsia" w:hAnsiTheme="minorEastAsia" w:cstheme="minorEastAsia"/>
              </w:rPr>
              <w:t>项</w:t>
            </w:r>
          </w:p>
        </w:tc>
        <w:tc>
          <w:tcPr>
            <w:tcW w:w="584" w:type="dxa"/>
            <w:tcBorders>
              <w:top w:val="single" w:color="auto" w:sz="6" w:space="0"/>
              <w:left w:val="single" w:color="auto" w:sz="6" w:space="0"/>
              <w:bottom w:val="single" w:color="auto" w:sz="6" w:space="0"/>
              <w:right w:val="single" w:color="auto" w:sz="6" w:space="0"/>
            </w:tcBorders>
            <w:vAlign w:val="center"/>
          </w:tcPr>
          <w:p w14:paraId="3208EB6B">
            <w:pPr>
              <w:autoSpaceDE w:val="0"/>
              <w:autoSpaceDN w:val="0"/>
              <w:ind w:firstLine="0" w:firstLineChars="0"/>
              <w:jc w:val="center"/>
              <w:rPr>
                <w:rFonts w:hint="eastAsia" w:asciiTheme="minorEastAsia" w:hAnsiTheme="minorEastAsia" w:cstheme="minorEastAsia"/>
              </w:rPr>
            </w:pPr>
            <w:r>
              <w:rPr>
                <w:rFonts w:hint="eastAsia" w:asciiTheme="minorEastAsia" w:hAnsiTheme="minorEastAsia" w:cstheme="minorEastAsia"/>
              </w:rPr>
              <w:t>1</w:t>
            </w:r>
          </w:p>
        </w:tc>
        <w:tc>
          <w:tcPr>
            <w:tcW w:w="4192" w:type="dxa"/>
            <w:tcBorders>
              <w:top w:val="single" w:color="auto" w:sz="6" w:space="0"/>
              <w:left w:val="single" w:color="auto" w:sz="6" w:space="0"/>
              <w:bottom w:val="single" w:color="auto" w:sz="6" w:space="0"/>
              <w:right w:val="single" w:color="auto" w:sz="6" w:space="0"/>
            </w:tcBorders>
            <w:vAlign w:val="center"/>
          </w:tcPr>
          <w:p w14:paraId="71ADD5C1">
            <w:pPr>
              <w:autoSpaceDE w:val="0"/>
              <w:autoSpaceDN w:val="0"/>
              <w:ind w:firstLine="0" w:firstLineChars="0"/>
              <w:jc w:val="left"/>
              <w:rPr>
                <w:rFonts w:hint="eastAsia" w:asciiTheme="minorEastAsia" w:hAnsiTheme="minorEastAsia" w:cstheme="minorEastAsia"/>
              </w:rPr>
            </w:pPr>
            <w:r>
              <w:rPr>
                <w:rFonts w:hint="eastAsia" w:asciiTheme="minorEastAsia" w:hAnsiTheme="minorEastAsia" w:cstheme="minorEastAsia"/>
              </w:rPr>
              <w:t>提交相关系统《等级保护测评报告》，通过单位相关部门的验收。</w:t>
            </w:r>
          </w:p>
        </w:tc>
      </w:tr>
      <w:tr w14:paraId="2F08559B">
        <w:tblPrEx>
          <w:tblCellMar>
            <w:top w:w="0" w:type="dxa"/>
            <w:left w:w="30" w:type="dxa"/>
            <w:bottom w:w="0" w:type="dxa"/>
            <w:right w:w="30" w:type="dxa"/>
          </w:tblCellMar>
        </w:tblPrEx>
        <w:trPr>
          <w:trHeight w:val="1876" w:hRule="exact"/>
          <w:tblHeader/>
        </w:trPr>
        <w:tc>
          <w:tcPr>
            <w:tcW w:w="701" w:type="dxa"/>
            <w:tcBorders>
              <w:top w:val="single" w:color="auto" w:sz="6" w:space="0"/>
              <w:left w:val="single" w:color="auto" w:sz="6" w:space="0"/>
              <w:bottom w:val="single" w:color="auto" w:sz="6" w:space="0"/>
              <w:right w:val="single" w:color="auto" w:sz="6" w:space="0"/>
            </w:tcBorders>
            <w:vAlign w:val="center"/>
          </w:tcPr>
          <w:p w14:paraId="7E9B91B0">
            <w:pPr>
              <w:autoSpaceDE w:val="0"/>
              <w:autoSpaceDN w:val="0"/>
              <w:ind w:firstLine="0" w:firstLineChars="0"/>
              <w:jc w:val="center"/>
              <w:rPr>
                <w:rFonts w:hint="eastAsia" w:asciiTheme="minorEastAsia" w:hAnsiTheme="minorEastAsia" w:cstheme="minorEastAsia"/>
              </w:rPr>
            </w:pPr>
            <w:r>
              <w:rPr>
                <w:rFonts w:hint="eastAsia" w:asciiTheme="minorEastAsia" w:hAnsiTheme="minorEastAsia" w:cstheme="minorEastAsia"/>
              </w:rPr>
              <w:t>3</w:t>
            </w:r>
          </w:p>
        </w:tc>
        <w:tc>
          <w:tcPr>
            <w:tcW w:w="2210" w:type="dxa"/>
            <w:tcBorders>
              <w:top w:val="single" w:color="auto" w:sz="6" w:space="0"/>
              <w:left w:val="single" w:color="auto" w:sz="6" w:space="0"/>
              <w:bottom w:val="single" w:color="auto" w:sz="6" w:space="0"/>
              <w:right w:val="single" w:color="auto" w:sz="6" w:space="0"/>
            </w:tcBorders>
            <w:vAlign w:val="center"/>
          </w:tcPr>
          <w:p w14:paraId="58E12F71">
            <w:pPr>
              <w:autoSpaceDE w:val="0"/>
              <w:autoSpaceDN w:val="0"/>
              <w:ind w:firstLine="0" w:firstLineChars="0"/>
              <w:jc w:val="left"/>
              <w:rPr>
                <w:rFonts w:hint="eastAsia" w:asciiTheme="minorEastAsia" w:hAnsiTheme="minorEastAsia" w:cstheme="minorEastAsia"/>
                <w:highlight w:val="none"/>
              </w:rPr>
            </w:pPr>
            <w:r>
              <w:rPr>
                <w:rFonts w:hint="eastAsia" w:asciiTheme="minorEastAsia" w:hAnsiTheme="minorEastAsia" w:cstheme="minorEastAsia"/>
                <w:highlight w:val="none"/>
              </w:rPr>
              <w:t>PACS系统等级保护测评(2级)</w:t>
            </w:r>
          </w:p>
        </w:tc>
        <w:tc>
          <w:tcPr>
            <w:tcW w:w="750" w:type="dxa"/>
            <w:tcBorders>
              <w:top w:val="single" w:color="auto" w:sz="6" w:space="0"/>
              <w:left w:val="single" w:color="auto" w:sz="6" w:space="0"/>
              <w:bottom w:val="single" w:color="auto" w:sz="6" w:space="0"/>
              <w:right w:val="single" w:color="auto" w:sz="6" w:space="0"/>
            </w:tcBorders>
            <w:vAlign w:val="center"/>
          </w:tcPr>
          <w:p w14:paraId="4ED5E49F">
            <w:pPr>
              <w:autoSpaceDE w:val="0"/>
              <w:autoSpaceDN w:val="0"/>
              <w:ind w:firstLine="0" w:firstLineChars="0"/>
              <w:jc w:val="center"/>
              <w:rPr>
                <w:rFonts w:hint="eastAsia" w:asciiTheme="minorEastAsia" w:hAnsiTheme="minorEastAsia" w:cstheme="minorEastAsia"/>
              </w:rPr>
            </w:pPr>
            <w:r>
              <w:rPr>
                <w:rFonts w:hint="eastAsia" w:asciiTheme="minorEastAsia" w:hAnsiTheme="minorEastAsia" w:cstheme="minorEastAsia"/>
              </w:rPr>
              <w:t>项</w:t>
            </w:r>
          </w:p>
        </w:tc>
        <w:tc>
          <w:tcPr>
            <w:tcW w:w="584" w:type="dxa"/>
            <w:tcBorders>
              <w:top w:val="single" w:color="auto" w:sz="6" w:space="0"/>
              <w:left w:val="single" w:color="auto" w:sz="6" w:space="0"/>
              <w:bottom w:val="single" w:color="auto" w:sz="6" w:space="0"/>
              <w:right w:val="single" w:color="auto" w:sz="6" w:space="0"/>
            </w:tcBorders>
            <w:vAlign w:val="center"/>
          </w:tcPr>
          <w:p w14:paraId="40579E43">
            <w:pPr>
              <w:autoSpaceDE w:val="0"/>
              <w:autoSpaceDN w:val="0"/>
              <w:ind w:firstLine="0" w:firstLineChars="0"/>
              <w:jc w:val="center"/>
              <w:rPr>
                <w:rFonts w:hint="eastAsia" w:asciiTheme="minorEastAsia" w:hAnsiTheme="minorEastAsia" w:cstheme="minorEastAsia"/>
              </w:rPr>
            </w:pPr>
            <w:r>
              <w:rPr>
                <w:rFonts w:hint="eastAsia" w:asciiTheme="minorEastAsia" w:hAnsiTheme="minorEastAsia" w:cstheme="minorEastAsia"/>
              </w:rPr>
              <w:t>1</w:t>
            </w:r>
          </w:p>
        </w:tc>
        <w:tc>
          <w:tcPr>
            <w:tcW w:w="4192" w:type="dxa"/>
            <w:tcBorders>
              <w:top w:val="single" w:color="auto" w:sz="6" w:space="0"/>
              <w:left w:val="single" w:color="auto" w:sz="6" w:space="0"/>
              <w:bottom w:val="single" w:color="auto" w:sz="6" w:space="0"/>
              <w:right w:val="single" w:color="auto" w:sz="6" w:space="0"/>
            </w:tcBorders>
            <w:vAlign w:val="center"/>
          </w:tcPr>
          <w:p w14:paraId="6EA903D1">
            <w:pPr>
              <w:autoSpaceDE w:val="0"/>
              <w:autoSpaceDN w:val="0"/>
              <w:ind w:firstLine="0" w:firstLineChars="0"/>
              <w:jc w:val="left"/>
              <w:rPr>
                <w:rFonts w:hint="eastAsia" w:asciiTheme="minorEastAsia" w:hAnsiTheme="minorEastAsia" w:cstheme="minorEastAsia"/>
              </w:rPr>
            </w:pPr>
            <w:r>
              <w:rPr>
                <w:rFonts w:hint="eastAsia" w:asciiTheme="minorEastAsia" w:hAnsiTheme="minorEastAsia" w:cstheme="minorEastAsia"/>
              </w:rPr>
              <w:t>提交相关系统《等级保护测评报告》，通过单位相关部门的验收。</w:t>
            </w:r>
          </w:p>
        </w:tc>
      </w:tr>
    </w:tbl>
    <w:p w14:paraId="48172400">
      <w:pPr>
        <w:rPr>
          <w:rFonts w:hint="eastAsia" w:asciiTheme="minorEastAsia" w:hAnsiTheme="minorEastAsia" w:cstheme="minorEastAsia"/>
        </w:rPr>
      </w:pPr>
      <w:r>
        <w:rPr>
          <w:rFonts w:hint="eastAsia" w:asciiTheme="minorEastAsia" w:hAnsiTheme="minorEastAsia" w:cstheme="minorEastAsia"/>
        </w:rPr>
        <w:t>本次测评指标和对象选择须符合国标《GB/T 28448-2019网络安全等级保护测评要求》的相关要求。具体测评要求如下：安全技术测评：包括安全物理环境、安全通信网络、安全区域边界、安全计算环境、安全管理中心等五个方面的安全测评；</w:t>
      </w:r>
    </w:p>
    <w:p w14:paraId="09BA400C">
      <w:pPr>
        <w:rPr>
          <w:rFonts w:hint="eastAsia" w:asciiTheme="minorEastAsia" w:hAnsiTheme="minorEastAsia" w:cstheme="minorEastAsia"/>
        </w:rPr>
      </w:pPr>
      <w:r>
        <w:rPr>
          <w:rFonts w:hint="eastAsia" w:asciiTheme="minorEastAsia" w:hAnsiTheme="minorEastAsia" w:cstheme="minorEastAsia"/>
        </w:rPr>
        <w:t>安全管理测评：包括安全管理制度、安全管理机构、安全管理人员、安全建设管理和系统运维管理等五个方面的安全测评。</w:t>
      </w:r>
    </w:p>
    <w:p w14:paraId="0BA46C81">
      <w:pPr>
        <w:rPr>
          <w:rFonts w:hint="eastAsia" w:asciiTheme="minorEastAsia" w:hAnsiTheme="minorEastAsia" w:cstheme="minorEastAsia"/>
        </w:rPr>
      </w:pPr>
      <w:r>
        <w:rPr>
          <w:rFonts w:hint="eastAsia" w:asciiTheme="minorEastAsia" w:hAnsiTheme="minorEastAsia" w:cstheme="minorEastAsia"/>
        </w:rPr>
        <w:t>安全物理环境测评对象为对对支持运行的基础物理设施环境以及相关的硬件设备和介质等，包括物理位置选择、物理访问控制、防盗窃和防破坏、防雷击、防火、防水和防潮、防静电、温湿度控制、电力供应和电磁防护等方面的安全状况。</w:t>
      </w:r>
    </w:p>
    <w:p w14:paraId="1DA6CEF3">
      <w:pPr>
        <w:rPr>
          <w:rFonts w:hint="eastAsia" w:asciiTheme="minorEastAsia" w:hAnsiTheme="minorEastAsia" w:cstheme="minorEastAsia"/>
        </w:rPr>
      </w:pPr>
      <w:r>
        <w:rPr>
          <w:rFonts w:hint="eastAsia" w:asciiTheme="minorEastAsia" w:hAnsiTheme="minorEastAsia" w:cstheme="minorEastAsia"/>
        </w:rPr>
        <w:t>安全通信网络是对通信网络的构成组件进行测评。通信网络的构成组件负责支撑信息系统进行网络互联，为等级保护对象各个部分进行安全通信传输，一般包括网络设备、通信链路以及网络拓扑等。测评内容主要包括网络架构、通信传输和可信验证。</w:t>
      </w:r>
    </w:p>
    <w:p w14:paraId="00871E17">
      <w:pPr>
        <w:rPr>
          <w:rFonts w:hint="eastAsia" w:asciiTheme="minorEastAsia" w:hAnsiTheme="minorEastAsia" w:cstheme="minorEastAsia"/>
        </w:rPr>
      </w:pPr>
      <w:r>
        <w:rPr>
          <w:rFonts w:hint="eastAsia" w:asciiTheme="minorEastAsia" w:hAnsiTheme="minorEastAsia" w:cstheme="minorEastAsia"/>
        </w:rPr>
        <w:t>安全区域边界需要对边界防护、访问控制、入侵防范、恶意代码和反垃圾邮件防范和安全审计等方面进行测评。</w:t>
      </w:r>
    </w:p>
    <w:p w14:paraId="46B5D47A">
      <w:pPr>
        <w:rPr>
          <w:rFonts w:hint="eastAsia" w:asciiTheme="minorEastAsia" w:hAnsiTheme="minorEastAsia" w:cstheme="minorEastAsia"/>
        </w:rPr>
      </w:pPr>
      <w:r>
        <w:rPr>
          <w:rFonts w:hint="eastAsia" w:asciiTheme="minorEastAsia" w:hAnsiTheme="minorEastAsia" w:cstheme="minorEastAsia"/>
        </w:rPr>
        <w:t>安全计算环境需要对身份鉴别、访问控制、安全审计、可信验证、入侵防范、恶意代码防范、数据完整性、数据保密性、数据备份恢复和个人信息保护等方面进行测评。</w:t>
      </w:r>
    </w:p>
    <w:p w14:paraId="3A7EBC64">
      <w:pPr>
        <w:rPr>
          <w:rFonts w:hint="eastAsia" w:asciiTheme="minorEastAsia" w:hAnsiTheme="minorEastAsia" w:cstheme="minorEastAsia"/>
        </w:rPr>
      </w:pPr>
      <w:r>
        <w:rPr>
          <w:rFonts w:hint="eastAsia" w:asciiTheme="minorEastAsia" w:hAnsiTheme="minorEastAsia" w:cstheme="minorEastAsia"/>
        </w:rPr>
        <w:t>安全管理中心需要对系统管理、审计管理、安全管理和集中管控等方面进行测评。</w:t>
      </w:r>
    </w:p>
    <w:p w14:paraId="65FD22BC">
      <w:pPr>
        <w:rPr>
          <w:rFonts w:hint="eastAsia" w:asciiTheme="minorEastAsia" w:hAnsiTheme="minorEastAsia" w:cstheme="minorEastAsia"/>
        </w:rPr>
      </w:pPr>
      <w:r>
        <w:rPr>
          <w:rFonts w:hint="eastAsia" w:asciiTheme="minorEastAsia" w:hAnsiTheme="minorEastAsia" w:cstheme="minorEastAsia"/>
        </w:rPr>
        <w:t>安全管理制度测评是对系统的安全管理制度体系和制度内容、制定和发布流程、评审和修订机制等情况进行测评。</w:t>
      </w:r>
    </w:p>
    <w:p w14:paraId="39DC7CCF">
      <w:pPr>
        <w:rPr>
          <w:rFonts w:hint="eastAsia" w:asciiTheme="minorEastAsia" w:hAnsiTheme="minorEastAsia" w:cstheme="minorEastAsia"/>
        </w:rPr>
      </w:pPr>
      <w:r>
        <w:rPr>
          <w:rFonts w:hint="eastAsia" w:asciiTheme="minorEastAsia" w:hAnsiTheme="minorEastAsia" w:cstheme="minorEastAsia"/>
        </w:rPr>
        <w:t>安全管理机构测评是对整个管理组织架构和岗位设置、人员配备、授权和审批、沟通和合作、审核和检查等情况进行测评。</w:t>
      </w:r>
    </w:p>
    <w:p w14:paraId="107EF505">
      <w:pPr>
        <w:rPr>
          <w:rFonts w:hint="eastAsia" w:asciiTheme="minorEastAsia" w:hAnsiTheme="minorEastAsia" w:cstheme="minorEastAsia"/>
        </w:rPr>
      </w:pPr>
      <w:r>
        <w:rPr>
          <w:rFonts w:hint="eastAsia" w:asciiTheme="minorEastAsia" w:hAnsiTheme="minorEastAsia" w:cstheme="minorEastAsia"/>
        </w:rPr>
        <w:t>人员安全管理测评是对人员管理模式提出的安全控制要求，包含对人员录用、人员离岗、人员考核、安全意识教育和培训，以及外部人员访问管理等情况进行测评。</w:t>
      </w:r>
    </w:p>
    <w:p w14:paraId="392BB41C">
      <w:pPr>
        <w:rPr>
          <w:rFonts w:hint="eastAsia" w:asciiTheme="minorEastAsia" w:hAnsiTheme="minorEastAsia" w:cstheme="minorEastAsia"/>
        </w:rPr>
      </w:pPr>
      <w:r>
        <w:rPr>
          <w:rFonts w:hint="eastAsia" w:asciiTheme="minorEastAsia" w:hAnsiTheme="minorEastAsia" w:cstheme="minorEastAsia"/>
        </w:rPr>
        <w:t>安全建设管理测评是对系统建设过程中的系统定级和备案、安全方案设计、产品采购和使用、自主软件开发、外包软件开发、工程实施、测试验收、系统交付、等级测评、安全服务商选择等情况进行测评。</w:t>
      </w:r>
    </w:p>
    <w:p w14:paraId="1CB36268">
      <w:pPr>
        <w:rPr>
          <w:rFonts w:hint="eastAsia" w:asciiTheme="minorEastAsia" w:hAnsiTheme="minorEastAsia" w:cstheme="minorEastAsia"/>
        </w:rPr>
      </w:pPr>
      <w:r>
        <w:rPr>
          <w:rFonts w:hint="eastAsia" w:asciiTheme="minorEastAsia" w:hAnsiTheme="minorEastAsia" w:cstheme="minorEastAsia"/>
        </w:rPr>
        <w:t>系统运维管理测评是对系统运行维护过程中的环境管理、资产管理、介质管理、设备管理、监控管理和安全管理中心、网络安全管理、系统安全管理、恶意代码防范管理、密码管理、变更管理、备份与恢复管理、安全事件处置、应急预案管理等情况进行测评。</w:t>
      </w:r>
    </w:p>
    <w:p w14:paraId="122EB247">
      <w:pPr>
        <w:rPr>
          <w:rFonts w:hint="eastAsia" w:asciiTheme="minorEastAsia" w:hAnsiTheme="minorEastAsia" w:cstheme="minorEastAsia"/>
        </w:rPr>
      </w:pPr>
      <w:r>
        <w:rPr>
          <w:rFonts w:hint="eastAsia" w:asciiTheme="minorEastAsia" w:hAnsiTheme="minorEastAsia" w:cstheme="minorEastAsia"/>
        </w:rPr>
        <w:t>（1）随着等级保护测评标准的变化，至复测评开始前，若系统发生变更，应答人需负责</w:t>
      </w:r>
      <w:bookmarkStart w:id="49" w:name="_GoBack"/>
      <w:bookmarkEnd w:id="49"/>
      <w:r>
        <w:rPr>
          <w:rFonts w:hint="eastAsia" w:asciiTheme="minorEastAsia" w:hAnsiTheme="minorEastAsia" w:cstheme="minorEastAsia"/>
        </w:rPr>
        <w:t>专家评审及当地网安部门备案工作。</w:t>
      </w:r>
    </w:p>
    <w:p w14:paraId="35A61855">
      <w:pPr>
        <w:rPr>
          <w:rFonts w:hint="eastAsia" w:asciiTheme="minorEastAsia" w:hAnsiTheme="minorEastAsia" w:cstheme="minorEastAsia"/>
        </w:rPr>
      </w:pPr>
      <w:r>
        <w:rPr>
          <w:rFonts w:hint="eastAsia" w:asciiTheme="minorEastAsia" w:hAnsiTheme="minorEastAsia" w:cstheme="minorEastAsia"/>
        </w:rPr>
        <w:t>（2）上级管理部门对采购人进行专项、重大事件、重要节日检查时，应答人需配合检查工作，同时对检查中发现的问题进行处理并做好记录。</w:t>
      </w:r>
    </w:p>
    <w:p w14:paraId="6DCA57FC">
      <w:pPr>
        <w:rPr>
          <w:rFonts w:hint="eastAsia" w:asciiTheme="minorEastAsia" w:hAnsiTheme="minorEastAsia" w:cstheme="minorEastAsia"/>
        </w:rPr>
      </w:pPr>
      <w:r>
        <w:rPr>
          <w:rFonts w:hint="eastAsia" w:asciiTheme="minorEastAsia" w:hAnsiTheme="minorEastAsia" w:cstheme="minorEastAsia"/>
        </w:rPr>
        <w:t>（3）在遇到网络安全事件时，应答人需根据要求进行网络安全事件溯源工作，需要在半小时内安排至少中级测评师以及渗透人员进行安全排查工作。</w:t>
      </w:r>
    </w:p>
    <w:p w14:paraId="5991B0E6">
      <w:pPr>
        <w:rPr>
          <w:rFonts w:hint="eastAsia" w:asciiTheme="minorEastAsia" w:hAnsiTheme="minorEastAsia" w:cstheme="minorEastAsia"/>
        </w:rPr>
      </w:pPr>
      <w:r>
        <w:rPr>
          <w:rFonts w:hint="eastAsia" w:asciiTheme="minorEastAsia" w:hAnsiTheme="minorEastAsia" w:cstheme="minorEastAsia"/>
        </w:rPr>
        <w:t>（4）根据采购人需求，在整体网络安全项目改造实施过程中提供对每个实施部分板块的整体标准要求进行规范，在项目实施前期，中期，后期安排技术人员进行安全基线检查，确保整体网络安全项目实施顺利。</w:t>
      </w:r>
    </w:p>
    <w:p w14:paraId="4E0448E4">
      <w:pPr>
        <w:rPr>
          <w:rFonts w:hint="eastAsia" w:asciiTheme="minorEastAsia" w:hAnsiTheme="minorEastAsia" w:cstheme="minorEastAsia"/>
        </w:rPr>
      </w:pPr>
      <w:r>
        <w:rPr>
          <w:rFonts w:hint="eastAsia" w:asciiTheme="minorEastAsia" w:hAnsiTheme="minorEastAsia" w:cstheme="minorEastAsia"/>
        </w:rPr>
        <w:t>(5)应答人根据采购人需求，结合客户单位实际情况，开展信息安全培训工作，强化安全意识，了解安全相关法律法规，提升客户有关信息安全方面的基本常识，确保相关人员树立信息安全观念，提高信息安全风险意识，增强信息安全责任感。</w:t>
      </w:r>
    </w:p>
    <w:p w14:paraId="17F09964">
      <w:pPr>
        <w:rPr>
          <w:rFonts w:hint="eastAsia" w:asciiTheme="minorEastAsia" w:hAnsiTheme="minorEastAsia" w:cstheme="minorEastAsia"/>
        </w:rPr>
      </w:pPr>
      <w:r>
        <w:rPr>
          <w:rFonts w:hint="eastAsia" w:asciiTheme="minorEastAsia" w:hAnsiTheme="minorEastAsia" w:cstheme="minorEastAsia"/>
        </w:rPr>
        <w:t>（6）根据密码法的要求，应答人需要提供商用密码应用安全技术相关咨询，帮助采购人了解最新的商用密码应用相关政策及标准规范，并协助采购人发现有重要网络与信息系统的密码应用现状、风险及需求，针对发现的密码应用风险结合采购人实际密码需求提出合理的商用密码应用合规建议，为后续密码建设改造工作提供支撑。</w:t>
      </w:r>
    </w:p>
    <w:p w14:paraId="1ADBDDD6">
      <w:pPr>
        <w:rPr>
          <w:rFonts w:hint="eastAsia" w:asciiTheme="minorEastAsia" w:hAnsiTheme="minorEastAsia" w:cstheme="minorEastAsia"/>
        </w:rPr>
      </w:pPr>
      <w:r>
        <w:rPr>
          <w:rFonts w:hint="eastAsia" w:asciiTheme="minorEastAsia" w:hAnsiTheme="minorEastAsia" w:cstheme="minorEastAsia"/>
        </w:rPr>
        <w:t>根据国家等级保护相关标准，安全等级保护测评流程分为四个阶段：测评准备阶段、方案编制阶段、现场测评阶段、分析与报告编制阶段。测评完成后，应答人提供整改建议书，配合采购人根据测评范围进行整改实施。</w:t>
      </w:r>
    </w:p>
    <w:p w14:paraId="2644DA16">
      <w:pPr>
        <w:pStyle w:val="3"/>
        <w:rPr>
          <w:rFonts w:hint="eastAsia"/>
        </w:rPr>
      </w:pPr>
      <w:bookmarkStart w:id="20" w:name="_Toc176428597"/>
      <w:r>
        <w:rPr>
          <w:rFonts w:hint="eastAsia"/>
        </w:rPr>
        <w:t>环保、消防、职业安全、职业卫生和节能</w:t>
      </w:r>
      <w:bookmarkEnd w:id="20"/>
    </w:p>
    <w:p w14:paraId="0AE990F2">
      <w:pPr>
        <w:pStyle w:val="4"/>
        <w:rPr>
          <w:rFonts w:hint="eastAsia"/>
        </w:rPr>
      </w:pPr>
      <w:bookmarkStart w:id="21" w:name="_Toc176428598"/>
      <w:r>
        <w:rPr>
          <w:rFonts w:hint="eastAsia"/>
        </w:rPr>
        <w:t>环境影响和环保措施</w:t>
      </w:r>
      <w:bookmarkEnd w:id="21"/>
    </w:p>
    <w:p w14:paraId="0B6841B2">
      <w:pPr>
        <w:pStyle w:val="12"/>
        <w:ind w:firstLine="520"/>
        <w:rPr>
          <w:rFonts w:hint="eastAsia"/>
        </w:rPr>
      </w:pPr>
      <w:r>
        <w:rPr>
          <w:rFonts w:hint="eastAsia"/>
        </w:rPr>
        <w:t>本项目建设不对环境造成影响，不产生污染。但要保证所选设备和机房局部空间无污染，符合消防安全要求，选用绿色电脑、外设和绿色节能照明光源。机房建设工程遵循国家机房设计标准规范的要求。</w:t>
      </w:r>
    </w:p>
    <w:p w14:paraId="63000FE9">
      <w:pPr>
        <w:pStyle w:val="12"/>
        <w:ind w:firstLine="520"/>
        <w:rPr>
          <w:rFonts w:hint="eastAsia"/>
        </w:rPr>
      </w:pPr>
      <w:r>
        <w:rPr>
          <w:rFonts w:hint="eastAsia"/>
        </w:rPr>
        <w:t>项目场地建设遵循建设部颁布的《民用建筑工程室内环境污染控制规定》（</w:t>
      </w:r>
      <w:r>
        <w:t>GB50352</w:t>
      </w:r>
      <w:r>
        <w:rPr>
          <w:rFonts w:hint="eastAsia"/>
        </w:rPr>
        <w:t>），国家质量监督检验检疫总局颁布的《室内装饰装修材料有害物质限量》等国家标准。</w:t>
      </w:r>
    </w:p>
    <w:p w14:paraId="1AC0EE50">
      <w:pPr>
        <w:pStyle w:val="12"/>
        <w:ind w:firstLine="520"/>
        <w:rPr>
          <w:rFonts w:hint="eastAsia"/>
        </w:rPr>
      </w:pPr>
      <w:r>
        <w:rPr>
          <w:rFonts w:hint="eastAsia"/>
        </w:rPr>
        <w:t>场地建设后，系统运行过程中不产生有害废气、废水、废渣等物质，不会污染环境。而空调、风机等硬件基本选用低噪声设备，并采取双层玻璃、隔离屏蔽等有效的消声措施。电磁辐射完全符合国际标准，对人体健康并不造成较大威胁。</w:t>
      </w:r>
    </w:p>
    <w:p w14:paraId="21064FDE">
      <w:pPr>
        <w:pStyle w:val="4"/>
        <w:rPr>
          <w:rFonts w:hint="eastAsia"/>
        </w:rPr>
      </w:pPr>
      <w:bookmarkStart w:id="22" w:name="_Toc176428599"/>
      <w:r>
        <w:rPr>
          <w:rFonts w:hint="eastAsia"/>
        </w:rPr>
        <w:t>消防措施</w:t>
      </w:r>
      <w:bookmarkEnd w:id="22"/>
    </w:p>
    <w:p w14:paraId="040F41AD">
      <w:pPr>
        <w:pStyle w:val="12"/>
        <w:ind w:firstLine="520"/>
        <w:rPr>
          <w:rFonts w:hint="eastAsia"/>
        </w:rPr>
      </w:pPr>
      <w:r>
        <w:rPr>
          <w:rFonts w:hint="eastAsia"/>
        </w:rPr>
        <w:t>在项目建设中严格按照国家消防规范《建筑内部装修设计防火规范》（</w:t>
      </w:r>
      <w:r>
        <w:t>GB50222</w:t>
      </w:r>
      <w:r>
        <w:rPr>
          <w:rFonts w:hint="eastAsia"/>
        </w:rPr>
        <w:t>）、《中华人民共和国消防法》等国家法律和规定。在各个区域内都装自动喷淋系统和报警装置，配置七氟丙烷灭火器，以及适量手提式二氧化碳气体灭火器。</w:t>
      </w:r>
    </w:p>
    <w:p w14:paraId="6368B6CC">
      <w:pPr>
        <w:pStyle w:val="4"/>
        <w:rPr>
          <w:rFonts w:hint="eastAsia"/>
        </w:rPr>
      </w:pPr>
      <w:bookmarkStart w:id="23" w:name="_Toc176428600"/>
      <w:r>
        <w:rPr>
          <w:rFonts w:hint="eastAsia"/>
        </w:rPr>
        <w:t>职业安全和卫生措施</w:t>
      </w:r>
      <w:bookmarkEnd w:id="23"/>
    </w:p>
    <w:p w14:paraId="626C45AD">
      <w:pPr>
        <w:pStyle w:val="12"/>
        <w:ind w:firstLine="520"/>
        <w:rPr>
          <w:rFonts w:hint="eastAsia"/>
        </w:rPr>
      </w:pPr>
      <w:r>
        <w:rPr>
          <w:rFonts w:hint="eastAsia"/>
        </w:rPr>
        <w:t>项目建设根据有关国家和部门标准规范，采取的主要安全卫生措施有：</w:t>
      </w:r>
    </w:p>
    <w:p w14:paraId="3A898401">
      <w:pPr>
        <w:pStyle w:val="12"/>
        <w:ind w:firstLine="520"/>
        <w:rPr>
          <w:rFonts w:hint="eastAsia"/>
        </w:rPr>
      </w:pPr>
      <w:r>
        <w:t>1</w:t>
      </w:r>
      <w:r>
        <w:rPr>
          <w:rFonts w:hint="eastAsia"/>
        </w:rPr>
        <w:t>）所有用电设备的金属外壳、金属底座、电缆金属铠装层、电缆保护管以及所有金属支架均与接地装置连接，设有安全接地，配电系统设有短路保护、过电流保护装置，以保证操作人员的安全和设备安全；</w:t>
      </w:r>
    </w:p>
    <w:p w14:paraId="1BE48DAA">
      <w:pPr>
        <w:pStyle w:val="12"/>
        <w:ind w:firstLine="520"/>
        <w:rPr>
          <w:rFonts w:hint="eastAsia"/>
        </w:rPr>
      </w:pPr>
      <w:r>
        <w:t>2</w:t>
      </w:r>
      <w:r>
        <w:rPr>
          <w:rFonts w:hint="eastAsia"/>
        </w:rPr>
        <w:t>）建筑内设计足够的人行通道和运输通道，设置疏散标志，以保证通行安全。在主要通道和出入口均设置应急照明；</w:t>
      </w:r>
    </w:p>
    <w:p w14:paraId="20409ECA">
      <w:pPr>
        <w:pStyle w:val="12"/>
        <w:ind w:firstLine="520"/>
        <w:rPr>
          <w:rFonts w:hint="eastAsia"/>
        </w:rPr>
      </w:pPr>
      <w:r>
        <w:t>3</w:t>
      </w:r>
      <w:r>
        <w:rPr>
          <w:rFonts w:hint="eastAsia"/>
        </w:rPr>
        <w:t>）办公环境配有空调、空气净化等装置，为工作人员提供舒适的工作环境；</w:t>
      </w:r>
    </w:p>
    <w:p w14:paraId="1562D823">
      <w:pPr>
        <w:pStyle w:val="12"/>
        <w:ind w:firstLine="520"/>
        <w:rPr>
          <w:rFonts w:hint="eastAsia"/>
        </w:rPr>
      </w:pPr>
      <w:r>
        <w:t>4</w:t>
      </w:r>
      <w:r>
        <w:rPr>
          <w:rFonts w:hint="eastAsia"/>
        </w:rPr>
        <w:t>）对消防、电磁干扰满足工作人员的卫生环境要求；</w:t>
      </w:r>
    </w:p>
    <w:p w14:paraId="648BD021">
      <w:pPr>
        <w:rPr>
          <w:rFonts w:hint="eastAsia"/>
        </w:rPr>
      </w:pPr>
      <w:r>
        <w:t>5</w:t>
      </w:r>
      <w:r>
        <w:rPr>
          <w:rFonts w:hint="eastAsia"/>
        </w:rPr>
        <w:t>）场地设有值班室、货物间、男女洗手间等辅助用房。</w:t>
      </w:r>
    </w:p>
    <w:p w14:paraId="3F1C093C">
      <w:pPr>
        <w:pStyle w:val="4"/>
        <w:rPr>
          <w:rFonts w:hint="eastAsia"/>
        </w:rPr>
      </w:pPr>
      <w:bookmarkStart w:id="24" w:name="_Toc176428601"/>
      <w:r>
        <w:rPr>
          <w:rFonts w:hint="eastAsia"/>
        </w:rPr>
        <w:t>节能目标及措施</w:t>
      </w:r>
      <w:bookmarkEnd w:id="24"/>
    </w:p>
    <w:p w14:paraId="0B90390C">
      <w:pPr>
        <w:rPr>
          <w:rFonts w:hint="eastAsia"/>
          <w:szCs w:val="24"/>
        </w:rPr>
      </w:pPr>
      <w:r>
        <w:rPr>
          <w:rFonts w:hint="eastAsia"/>
          <w:szCs w:val="24"/>
        </w:rPr>
        <w:t>项目建场地建设遵循《公共建筑节能设计标准》、《建筑节能工程施工质量验收规范》等国家规定，场地建设后，系统运行过程中主要是使用计算机设备、网络设备和检测设备，运行能耗较小。在项目实施中，仍将严格遵守国家有关规定，控制能耗。根据有关国家和部门标准规范，采取的主要节能措施有：</w:t>
      </w:r>
    </w:p>
    <w:p w14:paraId="0F6096EA">
      <w:pPr>
        <w:rPr>
          <w:rFonts w:hint="eastAsia"/>
          <w:szCs w:val="24"/>
        </w:rPr>
      </w:pPr>
      <w:r>
        <w:rPr>
          <w:szCs w:val="24"/>
        </w:rPr>
        <w:t>1</w:t>
      </w:r>
      <w:r>
        <w:rPr>
          <w:rFonts w:hint="eastAsia"/>
          <w:szCs w:val="24"/>
        </w:rPr>
        <w:t>）引进国内先进的关键计算机设备、网络设备和检测设备，要求能耗低、可靠性高；</w:t>
      </w:r>
    </w:p>
    <w:p w14:paraId="48553405">
      <w:pPr>
        <w:rPr>
          <w:rFonts w:hint="eastAsia"/>
          <w:szCs w:val="24"/>
        </w:rPr>
      </w:pPr>
      <w:r>
        <w:rPr>
          <w:szCs w:val="24"/>
        </w:rPr>
        <w:t>2</w:t>
      </w:r>
      <w:r>
        <w:rPr>
          <w:rFonts w:hint="eastAsia"/>
          <w:szCs w:val="24"/>
        </w:rPr>
        <w:t>）国内生产与办公设备选用优质节能产品；</w:t>
      </w:r>
    </w:p>
    <w:p w14:paraId="47D7F0A6">
      <w:pPr>
        <w:rPr>
          <w:rFonts w:hint="eastAsia"/>
          <w:szCs w:val="24"/>
        </w:rPr>
      </w:pPr>
      <w:r>
        <w:rPr>
          <w:szCs w:val="24"/>
        </w:rPr>
        <w:t>3</w:t>
      </w:r>
      <w:r>
        <w:rPr>
          <w:rFonts w:hint="eastAsia"/>
          <w:szCs w:val="24"/>
        </w:rPr>
        <w:t>）设计中选用的各类配套设备，均选用优质节能系列产品；</w:t>
      </w:r>
    </w:p>
    <w:p w14:paraId="16322E4B">
      <w:pPr>
        <w:rPr>
          <w:rFonts w:hint="eastAsia"/>
          <w:szCs w:val="24"/>
        </w:rPr>
      </w:pPr>
      <w:r>
        <w:rPr>
          <w:szCs w:val="24"/>
        </w:rPr>
        <w:t>4</w:t>
      </w:r>
      <w:r>
        <w:rPr>
          <w:rFonts w:hint="eastAsia"/>
          <w:szCs w:val="24"/>
        </w:rPr>
        <w:t>）各种管道应采取保温、隔热等措施；</w:t>
      </w:r>
    </w:p>
    <w:p w14:paraId="3257B6DE">
      <w:pPr>
        <w:rPr>
          <w:rFonts w:hint="eastAsia"/>
        </w:rPr>
      </w:pPr>
      <w:r>
        <w:rPr>
          <w:szCs w:val="24"/>
        </w:rPr>
        <w:t>5</w:t>
      </w:r>
      <w:r>
        <w:rPr>
          <w:rFonts w:hint="eastAsia"/>
          <w:szCs w:val="24"/>
        </w:rPr>
        <w:t>）建筑墙面、吊顶作保温层或双层隔离，减少能量损耗。</w:t>
      </w:r>
    </w:p>
    <w:p w14:paraId="15B9BD8C">
      <w:pPr>
        <w:pStyle w:val="3"/>
        <w:rPr>
          <w:rFonts w:hint="eastAsia"/>
        </w:rPr>
      </w:pPr>
      <w:bookmarkStart w:id="25" w:name="_Toc176428602"/>
      <w:r>
        <w:rPr>
          <w:rFonts w:hint="eastAsia"/>
        </w:rPr>
        <w:t>项目实施进度</w:t>
      </w:r>
      <w:bookmarkEnd w:id="25"/>
    </w:p>
    <w:p w14:paraId="2CA4DABB">
      <w:pPr>
        <w:pStyle w:val="12"/>
        <w:ind w:firstLine="520"/>
        <w:rPr>
          <w:rFonts w:hint="eastAsia"/>
        </w:rPr>
      </w:pPr>
      <w:r>
        <w:rPr>
          <w:rFonts w:hint="eastAsia"/>
        </w:rPr>
        <w:t>本次信息化建设项目建设的实施分为以下三个阶段：</w:t>
      </w:r>
    </w:p>
    <w:p w14:paraId="5DC5D263">
      <w:pPr>
        <w:pStyle w:val="12"/>
        <w:ind w:firstLine="520"/>
        <w:rPr>
          <w:rFonts w:hint="eastAsia"/>
        </w:rPr>
      </w:pPr>
      <w:r>
        <w:rPr>
          <w:rFonts w:hint="eastAsia"/>
        </w:rPr>
        <w:t>第一阶段：项目建设的准备阶段</w:t>
      </w:r>
    </w:p>
    <w:p w14:paraId="4D1D909E">
      <w:pPr>
        <w:pStyle w:val="12"/>
        <w:ind w:firstLine="520"/>
        <w:rPr>
          <w:rFonts w:hint="eastAsia"/>
        </w:rPr>
      </w:pPr>
      <w:r>
        <w:rPr>
          <w:rFonts w:hint="eastAsia"/>
        </w:rPr>
        <w:t>项目建设的准备阶段，主要是一系列前期准备工作的完成。包括全省、市、区同类项目考察、资料的收集和调研、项目建议书和可研报告的拟定、各项信息系统需求的确定、专家评审、项目建设经费的来源以及项目建设期限的确立等。</w:t>
      </w:r>
    </w:p>
    <w:p w14:paraId="75D68E90">
      <w:pPr>
        <w:pStyle w:val="12"/>
        <w:ind w:firstLine="520"/>
        <w:rPr>
          <w:rFonts w:hint="eastAsia"/>
        </w:rPr>
      </w:pPr>
      <w:r>
        <w:rPr>
          <w:rFonts w:hint="eastAsia"/>
        </w:rPr>
        <w:t>第二阶段：项目建设的确立</w:t>
      </w:r>
    </w:p>
    <w:p w14:paraId="554A3277">
      <w:pPr>
        <w:pStyle w:val="12"/>
        <w:ind w:firstLine="520"/>
        <w:rPr>
          <w:rFonts w:hint="eastAsia"/>
        </w:rPr>
      </w:pPr>
      <w:r>
        <w:rPr>
          <w:rFonts w:hint="eastAsia"/>
        </w:rPr>
        <w:t>本阶段的工作内容主要包括项目建设方案设计、项目招标、承建单位等。</w:t>
      </w:r>
    </w:p>
    <w:p w14:paraId="07E125EA">
      <w:pPr>
        <w:pStyle w:val="12"/>
        <w:ind w:firstLine="520"/>
        <w:rPr>
          <w:rFonts w:hint="eastAsia"/>
        </w:rPr>
      </w:pPr>
      <w:r>
        <w:rPr>
          <w:rFonts w:hint="eastAsia"/>
        </w:rPr>
        <w:t>第三阶段：项目的实施</w:t>
      </w:r>
    </w:p>
    <w:p w14:paraId="6E7A79BD">
      <w:pPr>
        <w:rPr>
          <w:rFonts w:hint="eastAsia"/>
        </w:rPr>
      </w:pPr>
      <w:r>
        <w:rPr>
          <w:rFonts w:hint="eastAsia"/>
        </w:rPr>
        <w:t>本阶段为项目建设的实施阶段，工作内容包括了项目建设合同，信息系统分批建设、验收申请及竣工交付使用等。</w:t>
      </w:r>
    </w:p>
    <w:p w14:paraId="0CE5442E">
      <w:pPr>
        <w:pStyle w:val="12"/>
        <w:ind w:firstLine="520"/>
        <w:rPr>
          <w:rFonts w:hint="eastAsia"/>
        </w:rPr>
      </w:pPr>
      <w:r>
        <w:rPr>
          <w:rFonts w:hint="eastAsia"/>
        </w:rPr>
        <w:t>第四阶段：项目的验收</w:t>
      </w:r>
    </w:p>
    <w:p w14:paraId="5DFDA2A3">
      <w:pPr>
        <w:pStyle w:val="2"/>
        <w:rPr>
          <w:rFonts w:hint="eastAsia"/>
        </w:rPr>
      </w:pPr>
      <w:r>
        <w:rPr>
          <w:rFonts w:hint="eastAsia"/>
        </w:rPr>
        <w:t>本阶段为项目建设的验收阶段，要点涉及是否按规定程序和要求组织验收，</w:t>
      </w:r>
      <w:r>
        <w:rPr>
          <w:rFonts w:hint="eastAsia" w:ascii="仿宋" w:hAnsi="仿宋" w:cs="仿宋"/>
        </w:rPr>
        <w:t>检查有关手续是否齐全，以及是否按要求开展各子项专业验收。需审查合同履行是否全面、真实，有无违约行为等。</w:t>
      </w:r>
    </w:p>
    <w:p w14:paraId="1EEFF52D">
      <w:pPr>
        <w:pStyle w:val="3"/>
        <w:rPr>
          <w:rFonts w:hint="eastAsia"/>
        </w:rPr>
      </w:pPr>
      <w:bookmarkStart w:id="26" w:name="_Toc176428603"/>
      <w:r>
        <w:rPr>
          <w:rFonts w:hint="eastAsia"/>
        </w:rPr>
        <w:t>项目风险分析</w:t>
      </w:r>
      <w:bookmarkEnd w:id="26"/>
    </w:p>
    <w:p w14:paraId="7A1FDB72">
      <w:pPr>
        <w:pStyle w:val="4"/>
        <w:rPr>
          <w:rFonts w:hint="eastAsia"/>
        </w:rPr>
      </w:pPr>
      <w:bookmarkStart w:id="27" w:name="_Toc459905901"/>
      <w:bookmarkStart w:id="28" w:name="_Toc22431"/>
      <w:bookmarkStart w:id="29" w:name="_Toc176428604"/>
      <w:bookmarkStart w:id="30" w:name="_Toc495576929"/>
      <w:bookmarkStart w:id="31" w:name="_Toc459906039"/>
      <w:bookmarkStart w:id="32" w:name="_Toc142382578"/>
      <w:bookmarkStart w:id="33" w:name="_Toc499910810"/>
      <w:r>
        <w:rPr>
          <w:rFonts w:hint="eastAsia"/>
        </w:rPr>
        <w:t>协调风险及控制</w:t>
      </w:r>
      <w:bookmarkEnd w:id="27"/>
      <w:bookmarkEnd w:id="28"/>
      <w:bookmarkEnd w:id="29"/>
      <w:bookmarkEnd w:id="30"/>
      <w:bookmarkEnd w:id="31"/>
      <w:bookmarkEnd w:id="32"/>
      <w:bookmarkEnd w:id="33"/>
    </w:p>
    <w:p w14:paraId="4442797A">
      <w:pPr>
        <w:rPr>
          <w:rFonts w:hint="eastAsia"/>
          <w:szCs w:val="24"/>
        </w:rPr>
      </w:pPr>
      <w:r>
        <w:rPr>
          <w:rFonts w:hint="eastAsia"/>
          <w:szCs w:val="24"/>
        </w:rPr>
        <w:t>由于医院信息化建设项目涉及到门诊科、信息科、医务科、护理科等科室之间的业务协同，且它们分布在不同的业务部门，因此处理各自的工作时出现不统一的工作节奏，因此要建设统一模式，需要协调各个相关部门，统一认识。</w:t>
      </w:r>
    </w:p>
    <w:p w14:paraId="348413CC">
      <w:pPr>
        <w:rPr>
          <w:rFonts w:hint="eastAsia"/>
          <w:szCs w:val="24"/>
        </w:rPr>
      </w:pPr>
      <w:r>
        <w:rPr>
          <w:rFonts w:hint="eastAsia"/>
          <w:szCs w:val="24"/>
        </w:rPr>
        <w:t>医院信息化建设项目是为重庆市市民提供健康、医疗服务的，要求动员和依靠医管局及兄弟单位方方面面的力量来共同完成。因此领导必须重视，规章制度要健全。由于工作牵涉的单位多、部门杂，实现统一集中运作，需要各联动单位积极响应，希望用户单位牵头召开有关会议，进行组织协调工作，在技术集群、人员集中、集成管理等方面统一思想，形成共识，为实现“通过医疗信息化建设，加强监管能力、提高决策水平和管理效能；优化医疗服务流程、降低运行成本、提高医疗服务质量、减轻市民就诊及医药费用负担；加强公共卫生应急处理能力。”的构想提供有力的思想和组织保障。</w:t>
      </w:r>
    </w:p>
    <w:p w14:paraId="43B83F7E">
      <w:pPr>
        <w:pStyle w:val="4"/>
        <w:rPr>
          <w:rFonts w:hint="eastAsia"/>
        </w:rPr>
      </w:pPr>
      <w:bookmarkStart w:id="34" w:name="_Toc499910811"/>
      <w:bookmarkStart w:id="35" w:name="_Toc459906038"/>
      <w:bookmarkStart w:id="36" w:name="_Toc495576928"/>
      <w:bookmarkStart w:id="37" w:name="_Toc176428605"/>
      <w:bookmarkStart w:id="38" w:name="_Toc459905900"/>
      <w:bookmarkStart w:id="39" w:name="_Toc14156"/>
      <w:bookmarkStart w:id="40" w:name="_Toc142382579"/>
      <w:bookmarkStart w:id="41" w:name="_Toc459905903"/>
      <w:bookmarkStart w:id="42" w:name="_Toc459906041"/>
      <w:bookmarkStart w:id="43" w:name="_Toc495576930"/>
      <w:r>
        <w:rPr>
          <w:rFonts w:hint="eastAsia"/>
        </w:rPr>
        <w:t>项目技术风险控制</w:t>
      </w:r>
      <w:bookmarkEnd w:id="34"/>
      <w:bookmarkEnd w:id="35"/>
      <w:bookmarkEnd w:id="36"/>
      <w:bookmarkEnd w:id="37"/>
      <w:bookmarkEnd w:id="38"/>
      <w:bookmarkEnd w:id="39"/>
      <w:bookmarkEnd w:id="40"/>
    </w:p>
    <w:p w14:paraId="76BB4325">
      <w:pPr>
        <w:rPr>
          <w:rFonts w:hint="eastAsia"/>
          <w:szCs w:val="24"/>
        </w:rPr>
      </w:pPr>
      <w:r>
        <w:rPr>
          <w:rFonts w:hint="eastAsia"/>
          <w:szCs w:val="24"/>
        </w:rPr>
        <w:t>医院信息化建设项目是一个跨学科、跨专业的综合系统工程，这一系统工程是以计算机网络系统、物联网平台为基础，以通信系统、云计算技术为纽带，以集成数据采集与交换、全数字化医疗临床信息应用和医院综合运营管理服务系统为技术支撑的技术综合体，因此技术发展给项目的建设带来一定的风险，避免系统投入使用，技术已落后的可能。由于不同地区、部门系统的设计理念及技术规范的不同，系统和硬件设计的不同，因此没有经过实际运行的技术，是可能存在技术风险。但我们在整体设计中尽可能使用较为成熟的技术，并部分开展物联网及虚拟化技术的应用，同时利用先进的</w:t>
      </w:r>
      <w:r>
        <w:rPr>
          <w:szCs w:val="24"/>
        </w:rPr>
        <w:t>ITSM</w:t>
      </w:r>
      <w:r>
        <w:rPr>
          <w:rFonts w:hint="eastAsia"/>
          <w:szCs w:val="24"/>
        </w:rPr>
        <w:t>技术运维管理系统的支持，是能够把握“稳中快跑、适度超前”的建设思路的，总体在技术风险上是可控、可规避的。</w:t>
      </w:r>
    </w:p>
    <w:p w14:paraId="491B1788">
      <w:pPr>
        <w:pStyle w:val="4"/>
        <w:rPr>
          <w:rFonts w:hint="eastAsia"/>
        </w:rPr>
      </w:pPr>
      <w:bookmarkStart w:id="44" w:name="_Toc176428606"/>
      <w:bookmarkStart w:id="45" w:name="_Toc142382580"/>
      <w:bookmarkStart w:id="46" w:name="_Toc23468"/>
      <w:bookmarkStart w:id="47" w:name="_Toc499910812"/>
      <w:r>
        <w:rPr>
          <w:rFonts w:hint="eastAsia"/>
        </w:rPr>
        <w:t>社会影响风险及控制</w:t>
      </w:r>
      <w:bookmarkEnd w:id="41"/>
      <w:bookmarkEnd w:id="42"/>
      <w:bookmarkEnd w:id="43"/>
      <w:bookmarkEnd w:id="44"/>
      <w:bookmarkEnd w:id="45"/>
      <w:bookmarkEnd w:id="46"/>
      <w:bookmarkEnd w:id="47"/>
    </w:p>
    <w:p w14:paraId="0AD290F2">
      <w:pPr>
        <w:rPr>
          <w:rFonts w:hint="eastAsia"/>
          <w:szCs w:val="24"/>
        </w:rPr>
      </w:pPr>
      <w:r>
        <w:rPr>
          <w:rFonts w:hint="eastAsia"/>
          <w:szCs w:val="24"/>
        </w:rPr>
        <w:t>项目的参与单位对项目系统重要性认识不到位、服务意识不强、业务人员技术问题、网络发展不平衡，项目建设阶段的问题，都可能使医院智能化建设项目在社会各阶层造成不好的影响。</w:t>
      </w:r>
    </w:p>
    <w:p w14:paraId="46F40E42">
      <w:pPr>
        <w:rPr>
          <w:rFonts w:hint="eastAsia"/>
          <w:szCs w:val="24"/>
        </w:rPr>
      </w:pPr>
      <w:r>
        <w:rPr>
          <w:rFonts w:hint="eastAsia"/>
          <w:szCs w:val="24"/>
        </w:rPr>
        <w:t>可以通过各种途径提高医院信息化建设项目在重庆市的认知率，为本项目工作创造良好的舆论氛围，项目相关单位成员结合本单位的实际情况，加强基本硬件建设，同时通过培训提高内部人员的实际工作能力。联动单位加强内部沟通，防止出现互相推倭，扯皮现象，这样才能提高联动系统在社会的影响力。</w:t>
      </w:r>
    </w:p>
    <w:p w14:paraId="14907281">
      <w:pPr>
        <w:pStyle w:val="2"/>
        <w:rPr>
          <w:rFonts w:hint="eastAsia"/>
        </w:rPr>
        <w:sectPr>
          <w:pgSz w:w="11906" w:h="16838"/>
          <w:pgMar w:top="1440" w:right="1797" w:bottom="1440" w:left="1797" w:header="851" w:footer="992" w:gutter="0"/>
          <w:pgBorders>
            <w:top w:val="single" w:color="auto" w:sz="4" w:space="1"/>
            <w:bottom w:val="single" w:color="auto" w:sz="4" w:space="1"/>
          </w:pgBorders>
          <w:pgNumType w:start="1"/>
          <w:cols w:space="425" w:num="1"/>
          <w:docGrid w:type="lines" w:linePitch="312" w:charSpace="0"/>
        </w:sectPr>
      </w:pPr>
    </w:p>
    <w:p w14:paraId="72234FA7">
      <w:pPr>
        <w:pStyle w:val="3"/>
        <w:numPr>
          <w:ilvl w:val="0"/>
          <w:numId w:val="0"/>
        </w:numPr>
        <w:ind w:left="432"/>
        <w:rPr>
          <w:rFonts w:hint="eastAsia"/>
        </w:rPr>
      </w:pPr>
      <w:bookmarkStart w:id="48" w:name="_Toc176428607"/>
      <w:r>
        <w:rPr>
          <w:rFonts w:hint="eastAsia"/>
        </w:rPr>
        <w:t>附表1：项目软件配置清单及预算</w:t>
      </w:r>
      <w:bookmarkEnd w:id="48"/>
    </w:p>
    <w:p w14:paraId="1652C772">
      <w:pPr>
        <w:rPr>
          <w:rFonts w:hint="eastAsia"/>
          <w:szCs w:val="24"/>
        </w:rPr>
      </w:pPr>
      <w:r>
        <w:rPr>
          <w:rFonts w:hint="eastAsia"/>
          <w:szCs w:val="24"/>
        </w:rPr>
        <w:t>系统软件配置：</w:t>
      </w:r>
    </w:p>
    <w:tbl>
      <w:tblPr>
        <w:tblStyle w:val="29"/>
        <w:tblW w:w="4825"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36"/>
        <w:gridCol w:w="3483"/>
        <w:gridCol w:w="1204"/>
        <w:gridCol w:w="1204"/>
        <w:gridCol w:w="1204"/>
      </w:tblGrid>
      <w:tr w14:paraId="6B720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582" w:type="pct"/>
          </w:tcPr>
          <w:p w14:paraId="3E64005B">
            <w:pPr>
              <w:spacing w:before="123" w:line="221" w:lineRule="auto"/>
              <w:ind w:firstLine="0" w:firstLineChars="0"/>
              <w:jc w:val="center"/>
              <w:rPr>
                <w:rFonts w:hint="eastAsia"/>
                <w:szCs w:val="24"/>
              </w:rPr>
            </w:pPr>
            <w:r>
              <w:rPr>
                <w:szCs w:val="24"/>
              </w:rPr>
              <w:t>序号</w:t>
            </w:r>
          </w:p>
        </w:tc>
        <w:tc>
          <w:tcPr>
            <w:tcW w:w="2167" w:type="pct"/>
          </w:tcPr>
          <w:p w14:paraId="68D9601F">
            <w:pPr>
              <w:spacing w:before="123" w:line="221" w:lineRule="auto"/>
              <w:ind w:firstLine="0" w:firstLineChars="0"/>
              <w:jc w:val="center"/>
              <w:rPr>
                <w:rFonts w:hint="eastAsia"/>
                <w:szCs w:val="24"/>
              </w:rPr>
            </w:pPr>
            <w:r>
              <w:rPr>
                <w:szCs w:val="24"/>
              </w:rPr>
              <w:t>名   称</w:t>
            </w:r>
          </w:p>
        </w:tc>
        <w:tc>
          <w:tcPr>
            <w:tcW w:w="749" w:type="pct"/>
          </w:tcPr>
          <w:p w14:paraId="0F882B79">
            <w:pPr>
              <w:spacing w:before="123" w:line="221" w:lineRule="auto"/>
              <w:ind w:firstLine="0" w:firstLineChars="0"/>
              <w:jc w:val="center"/>
              <w:rPr>
                <w:rFonts w:hint="eastAsia"/>
                <w:szCs w:val="24"/>
              </w:rPr>
            </w:pPr>
            <w:r>
              <w:rPr>
                <w:szCs w:val="24"/>
              </w:rPr>
              <w:t>数量</w:t>
            </w:r>
          </w:p>
        </w:tc>
        <w:tc>
          <w:tcPr>
            <w:tcW w:w="749" w:type="pct"/>
            <w:vAlign w:val="center"/>
          </w:tcPr>
          <w:p w14:paraId="1E93E683">
            <w:pPr>
              <w:spacing w:before="123" w:line="221" w:lineRule="auto"/>
              <w:ind w:firstLine="0" w:firstLineChars="0"/>
              <w:jc w:val="center"/>
              <w:rPr>
                <w:rFonts w:hint="eastAsia" w:eastAsia="仿宋"/>
                <w:szCs w:val="24"/>
                <w:lang w:val="en-US" w:eastAsia="zh-CN"/>
              </w:rPr>
            </w:pPr>
            <w:r>
              <w:rPr>
                <w:rFonts w:hint="eastAsia"/>
                <w:szCs w:val="24"/>
              </w:rPr>
              <w:t>预算</w:t>
            </w:r>
            <w:r>
              <w:rPr>
                <w:rFonts w:hint="eastAsia"/>
                <w:szCs w:val="24"/>
                <w:lang w:val="en-US" w:eastAsia="zh-CN"/>
              </w:rPr>
              <w:t>单价</w:t>
            </w:r>
          </w:p>
        </w:tc>
        <w:tc>
          <w:tcPr>
            <w:tcW w:w="749" w:type="pct"/>
            <w:vAlign w:val="center"/>
          </w:tcPr>
          <w:p w14:paraId="2B9DFA59">
            <w:pPr>
              <w:spacing w:before="123" w:line="221" w:lineRule="auto"/>
              <w:ind w:firstLine="0" w:firstLineChars="0"/>
              <w:jc w:val="center"/>
              <w:rPr>
                <w:rFonts w:hint="default" w:eastAsia="仿宋"/>
                <w:szCs w:val="24"/>
                <w:lang w:val="en-US" w:eastAsia="zh-CN"/>
              </w:rPr>
            </w:pPr>
            <w:r>
              <w:rPr>
                <w:rFonts w:hint="eastAsia"/>
                <w:szCs w:val="24"/>
                <w:lang w:val="en-US" w:eastAsia="zh-CN"/>
              </w:rPr>
              <w:t>预算总价</w:t>
            </w:r>
          </w:p>
        </w:tc>
      </w:tr>
      <w:tr w14:paraId="32D2A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82" w:type="pct"/>
            <w:vAlign w:val="center"/>
          </w:tcPr>
          <w:p w14:paraId="2B77A30A">
            <w:pPr>
              <w:spacing w:before="123" w:line="219" w:lineRule="auto"/>
              <w:ind w:firstLine="0" w:firstLineChars="0"/>
              <w:jc w:val="center"/>
              <w:rPr>
                <w:rFonts w:hint="eastAsia"/>
                <w:szCs w:val="24"/>
              </w:rPr>
            </w:pPr>
            <w:r>
              <w:rPr>
                <w:szCs w:val="24"/>
              </w:rPr>
              <w:t>1</w:t>
            </w:r>
          </w:p>
        </w:tc>
        <w:tc>
          <w:tcPr>
            <w:tcW w:w="2167" w:type="pct"/>
            <w:vAlign w:val="center"/>
          </w:tcPr>
          <w:p w14:paraId="65B142B7">
            <w:pPr>
              <w:spacing w:before="123" w:line="219" w:lineRule="auto"/>
              <w:ind w:firstLine="0" w:firstLineChars="0"/>
              <w:rPr>
                <w:rFonts w:hint="eastAsia"/>
                <w:szCs w:val="24"/>
              </w:rPr>
            </w:pPr>
            <w:r>
              <w:rPr>
                <w:rFonts w:hint="eastAsia"/>
                <w:szCs w:val="24"/>
              </w:rPr>
              <w:t>网络安全等级保护评测(2024、2025年)</w:t>
            </w:r>
          </w:p>
        </w:tc>
        <w:tc>
          <w:tcPr>
            <w:tcW w:w="749" w:type="pct"/>
            <w:vAlign w:val="center"/>
          </w:tcPr>
          <w:p w14:paraId="7D3E34B4">
            <w:pPr>
              <w:spacing w:before="123" w:line="219" w:lineRule="auto"/>
              <w:ind w:firstLine="0" w:firstLineChars="0"/>
              <w:jc w:val="center"/>
              <w:rPr>
                <w:rFonts w:hint="eastAsia"/>
                <w:szCs w:val="24"/>
              </w:rPr>
            </w:pPr>
            <w:r>
              <w:rPr>
                <w:rFonts w:hint="eastAsia"/>
                <w:szCs w:val="24"/>
                <w:lang w:val="en-US" w:eastAsia="zh-CN"/>
              </w:rPr>
              <w:t>2</w:t>
            </w:r>
            <w:r>
              <w:rPr>
                <w:szCs w:val="24"/>
              </w:rPr>
              <w:t>套</w:t>
            </w:r>
          </w:p>
        </w:tc>
        <w:tc>
          <w:tcPr>
            <w:tcW w:w="749" w:type="pct"/>
            <w:vAlign w:val="center"/>
          </w:tcPr>
          <w:p w14:paraId="584833C5">
            <w:pPr>
              <w:spacing w:before="123" w:line="219" w:lineRule="auto"/>
              <w:ind w:firstLine="0" w:firstLineChars="0"/>
              <w:jc w:val="center"/>
              <w:rPr>
                <w:rFonts w:hint="eastAsia"/>
                <w:szCs w:val="24"/>
              </w:rPr>
            </w:pPr>
            <w:r>
              <w:rPr>
                <w:rFonts w:hint="eastAsia"/>
                <w:szCs w:val="24"/>
                <w:lang w:val="en-US" w:eastAsia="zh-CN"/>
              </w:rPr>
              <w:t>2</w:t>
            </w:r>
            <w:r>
              <w:rPr>
                <w:rFonts w:hint="eastAsia"/>
                <w:szCs w:val="24"/>
              </w:rPr>
              <w:t>0万元</w:t>
            </w:r>
          </w:p>
        </w:tc>
        <w:tc>
          <w:tcPr>
            <w:tcW w:w="749" w:type="pct"/>
            <w:vAlign w:val="center"/>
          </w:tcPr>
          <w:p w14:paraId="6B5D9578">
            <w:pPr>
              <w:spacing w:before="123" w:line="219" w:lineRule="auto"/>
              <w:ind w:firstLine="0" w:firstLineChars="0"/>
              <w:jc w:val="center"/>
              <w:rPr>
                <w:rFonts w:hint="default" w:eastAsia="仿宋"/>
                <w:szCs w:val="24"/>
                <w:lang w:val="en-US" w:eastAsia="zh-CN"/>
              </w:rPr>
            </w:pPr>
            <w:r>
              <w:rPr>
                <w:rFonts w:hint="eastAsia"/>
                <w:szCs w:val="24"/>
                <w:lang w:val="en-US" w:eastAsia="zh-CN"/>
              </w:rPr>
              <w:t>40万元</w:t>
            </w:r>
          </w:p>
        </w:tc>
      </w:tr>
    </w:tbl>
    <w:p w14:paraId="56036E51">
      <w:pPr>
        <w:rPr>
          <w:szCs w:val="24"/>
        </w:rPr>
      </w:pPr>
    </w:p>
    <w:p w14:paraId="650C2A0A">
      <w:pPr>
        <w:pStyle w:val="2"/>
      </w:pPr>
    </w:p>
    <w:p w14:paraId="6BDAD404">
      <w:pPr>
        <w:rPr>
          <w:rFonts w:hint="eastAsia" w:asciiTheme="minorEastAsia" w:hAnsiTheme="minorEastAsia" w:cstheme="minorEastAsia"/>
          <w:highlight w:val="none"/>
        </w:rPr>
      </w:pPr>
      <w:r>
        <w:rPr>
          <w:rFonts w:hint="eastAsia" w:asciiTheme="minorEastAsia" w:hAnsiTheme="minorEastAsia" w:cstheme="minorEastAsia"/>
          <w:highlight w:val="none"/>
        </w:rPr>
        <w:t>清单如下:</w:t>
      </w:r>
    </w:p>
    <w:tbl>
      <w:tblPr>
        <w:tblStyle w:val="21"/>
        <w:tblW w:w="8437" w:type="dxa"/>
        <w:tblInd w:w="0" w:type="dxa"/>
        <w:tblLayout w:type="fixed"/>
        <w:tblCellMar>
          <w:top w:w="0" w:type="dxa"/>
          <w:left w:w="30" w:type="dxa"/>
          <w:bottom w:w="0" w:type="dxa"/>
          <w:right w:w="30" w:type="dxa"/>
        </w:tblCellMar>
      </w:tblPr>
      <w:tblGrid>
        <w:gridCol w:w="701"/>
        <w:gridCol w:w="1843"/>
        <w:gridCol w:w="850"/>
        <w:gridCol w:w="851"/>
        <w:gridCol w:w="4192"/>
      </w:tblGrid>
      <w:tr w14:paraId="14944332">
        <w:tblPrEx>
          <w:tblCellMar>
            <w:top w:w="0" w:type="dxa"/>
            <w:left w:w="30" w:type="dxa"/>
            <w:bottom w:w="0" w:type="dxa"/>
            <w:right w:w="30" w:type="dxa"/>
          </w:tblCellMar>
        </w:tblPrEx>
        <w:trPr>
          <w:trHeight w:val="563" w:hRule="exact"/>
          <w:tblHeader/>
        </w:trPr>
        <w:tc>
          <w:tcPr>
            <w:tcW w:w="701" w:type="dxa"/>
            <w:tcBorders>
              <w:top w:val="single" w:color="auto" w:sz="6" w:space="0"/>
              <w:left w:val="single" w:color="auto" w:sz="6" w:space="0"/>
              <w:bottom w:val="single" w:color="auto" w:sz="6" w:space="0"/>
              <w:right w:val="single" w:color="auto" w:sz="6" w:space="0"/>
            </w:tcBorders>
            <w:vAlign w:val="center"/>
          </w:tcPr>
          <w:p w14:paraId="6E2F9DDA">
            <w:pPr>
              <w:autoSpaceDE w:val="0"/>
              <w:autoSpaceDN w:val="0"/>
              <w:ind w:firstLine="0" w:firstLineChars="0"/>
              <w:jc w:val="center"/>
              <w:rPr>
                <w:rFonts w:hint="eastAsia" w:asciiTheme="minorEastAsia" w:hAnsiTheme="minorEastAsia" w:cstheme="minorEastAsia"/>
                <w:highlight w:val="none"/>
              </w:rPr>
            </w:pPr>
            <w:r>
              <w:rPr>
                <w:rFonts w:hint="eastAsia" w:asciiTheme="minorEastAsia" w:hAnsiTheme="minorEastAsia" w:cstheme="minorEastAsia"/>
                <w:highlight w:val="none"/>
              </w:rPr>
              <w:t>序号</w:t>
            </w:r>
          </w:p>
        </w:tc>
        <w:tc>
          <w:tcPr>
            <w:tcW w:w="1843" w:type="dxa"/>
            <w:tcBorders>
              <w:top w:val="single" w:color="auto" w:sz="6" w:space="0"/>
              <w:left w:val="single" w:color="auto" w:sz="6" w:space="0"/>
              <w:bottom w:val="single" w:color="auto" w:sz="6" w:space="0"/>
              <w:right w:val="single" w:color="auto" w:sz="6" w:space="0"/>
            </w:tcBorders>
            <w:vAlign w:val="center"/>
          </w:tcPr>
          <w:p w14:paraId="42F4C574">
            <w:pPr>
              <w:autoSpaceDE w:val="0"/>
              <w:autoSpaceDN w:val="0"/>
              <w:ind w:firstLine="0" w:firstLineChars="0"/>
              <w:jc w:val="center"/>
              <w:rPr>
                <w:rFonts w:hint="eastAsia" w:asciiTheme="minorEastAsia" w:hAnsiTheme="minorEastAsia" w:cstheme="minorEastAsia"/>
                <w:highlight w:val="none"/>
              </w:rPr>
            </w:pPr>
            <w:r>
              <w:rPr>
                <w:rFonts w:hint="eastAsia" w:asciiTheme="minorEastAsia" w:hAnsiTheme="minorEastAsia" w:cstheme="minorEastAsia"/>
                <w:highlight w:val="none"/>
              </w:rPr>
              <w:t>名称</w:t>
            </w:r>
          </w:p>
        </w:tc>
        <w:tc>
          <w:tcPr>
            <w:tcW w:w="850" w:type="dxa"/>
            <w:tcBorders>
              <w:top w:val="single" w:color="auto" w:sz="6" w:space="0"/>
              <w:left w:val="single" w:color="auto" w:sz="6" w:space="0"/>
              <w:bottom w:val="single" w:color="auto" w:sz="6" w:space="0"/>
              <w:right w:val="single" w:color="auto" w:sz="6" w:space="0"/>
            </w:tcBorders>
            <w:vAlign w:val="center"/>
          </w:tcPr>
          <w:p w14:paraId="387679BF">
            <w:pPr>
              <w:autoSpaceDE w:val="0"/>
              <w:autoSpaceDN w:val="0"/>
              <w:ind w:firstLine="0" w:firstLineChars="0"/>
              <w:jc w:val="center"/>
              <w:rPr>
                <w:rFonts w:hint="eastAsia" w:asciiTheme="minorEastAsia" w:hAnsiTheme="minorEastAsia" w:cstheme="minorEastAsia"/>
                <w:highlight w:val="none"/>
              </w:rPr>
            </w:pPr>
            <w:r>
              <w:rPr>
                <w:rFonts w:hint="eastAsia" w:asciiTheme="minorEastAsia" w:hAnsiTheme="minorEastAsia" w:cstheme="minorEastAsia"/>
                <w:highlight w:val="none"/>
              </w:rPr>
              <w:t>单位</w:t>
            </w:r>
          </w:p>
        </w:tc>
        <w:tc>
          <w:tcPr>
            <w:tcW w:w="851" w:type="dxa"/>
            <w:tcBorders>
              <w:top w:val="single" w:color="auto" w:sz="6" w:space="0"/>
              <w:left w:val="single" w:color="auto" w:sz="6" w:space="0"/>
              <w:bottom w:val="single" w:color="auto" w:sz="6" w:space="0"/>
              <w:right w:val="single" w:color="auto" w:sz="6" w:space="0"/>
            </w:tcBorders>
            <w:vAlign w:val="center"/>
          </w:tcPr>
          <w:p w14:paraId="4696A743">
            <w:pPr>
              <w:autoSpaceDE w:val="0"/>
              <w:autoSpaceDN w:val="0"/>
              <w:ind w:firstLine="0" w:firstLineChars="0"/>
              <w:jc w:val="center"/>
              <w:rPr>
                <w:rFonts w:hint="eastAsia" w:asciiTheme="minorEastAsia" w:hAnsiTheme="minorEastAsia" w:cstheme="minorEastAsia"/>
                <w:highlight w:val="none"/>
              </w:rPr>
            </w:pPr>
            <w:r>
              <w:rPr>
                <w:rFonts w:hint="eastAsia" w:asciiTheme="minorEastAsia" w:hAnsiTheme="minorEastAsia" w:cstheme="minorEastAsia"/>
                <w:highlight w:val="none"/>
              </w:rPr>
              <w:t>数量</w:t>
            </w:r>
          </w:p>
        </w:tc>
        <w:tc>
          <w:tcPr>
            <w:tcW w:w="4192" w:type="dxa"/>
            <w:tcBorders>
              <w:top w:val="single" w:color="auto" w:sz="6" w:space="0"/>
              <w:left w:val="single" w:color="auto" w:sz="6" w:space="0"/>
              <w:bottom w:val="single" w:color="auto" w:sz="6" w:space="0"/>
              <w:right w:val="single" w:color="auto" w:sz="6" w:space="0"/>
            </w:tcBorders>
            <w:vAlign w:val="center"/>
          </w:tcPr>
          <w:p w14:paraId="72E975D3">
            <w:pPr>
              <w:autoSpaceDE w:val="0"/>
              <w:autoSpaceDN w:val="0"/>
              <w:ind w:firstLine="0" w:firstLineChars="0"/>
              <w:jc w:val="center"/>
              <w:rPr>
                <w:rFonts w:hint="eastAsia" w:asciiTheme="minorEastAsia" w:hAnsiTheme="minorEastAsia" w:cstheme="minorEastAsia"/>
                <w:highlight w:val="none"/>
              </w:rPr>
            </w:pPr>
            <w:r>
              <w:rPr>
                <w:rFonts w:hint="eastAsia" w:asciiTheme="minorEastAsia" w:hAnsiTheme="minorEastAsia" w:cstheme="minorEastAsia"/>
                <w:highlight w:val="none"/>
              </w:rPr>
              <w:t>备注</w:t>
            </w:r>
          </w:p>
        </w:tc>
      </w:tr>
      <w:tr w14:paraId="67CDCBEB">
        <w:tblPrEx>
          <w:tblCellMar>
            <w:top w:w="0" w:type="dxa"/>
            <w:left w:w="30" w:type="dxa"/>
            <w:bottom w:w="0" w:type="dxa"/>
            <w:right w:w="30" w:type="dxa"/>
          </w:tblCellMar>
        </w:tblPrEx>
        <w:trPr>
          <w:trHeight w:val="983" w:hRule="exact"/>
          <w:tblHeader/>
        </w:trPr>
        <w:tc>
          <w:tcPr>
            <w:tcW w:w="701" w:type="dxa"/>
            <w:tcBorders>
              <w:top w:val="single" w:color="auto" w:sz="6" w:space="0"/>
              <w:left w:val="single" w:color="auto" w:sz="6" w:space="0"/>
              <w:bottom w:val="single" w:color="auto" w:sz="6" w:space="0"/>
              <w:right w:val="single" w:color="auto" w:sz="6" w:space="0"/>
            </w:tcBorders>
            <w:vAlign w:val="center"/>
          </w:tcPr>
          <w:p w14:paraId="01DB1C14">
            <w:pPr>
              <w:autoSpaceDE w:val="0"/>
              <w:autoSpaceDN w:val="0"/>
              <w:ind w:firstLine="0" w:firstLineChars="0"/>
              <w:jc w:val="center"/>
              <w:rPr>
                <w:rFonts w:hint="eastAsia" w:asciiTheme="minorEastAsia" w:hAnsiTheme="minorEastAsia" w:cstheme="minorEastAsia"/>
                <w:highlight w:val="none"/>
              </w:rPr>
            </w:pPr>
            <w:r>
              <w:rPr>
                <w:rFonts w:hint="eastAsia" w:asciiTheme="minorEastAsia" w:hAnsiTheme="minorEastAsia" w:cstheme="minorEastAsia"/>
                <w:highlight w:val="none"/>
              </w:rPr>
              <w:t>1</w:t>
            </w:r>
          </w:p>
        </w:tc>
        <w:tc>
          <w:tcPr>
            <w:tcW w:w="1843" w:type="dxa"/>
            <w:tcBorders>
              <w:top w:val="single" w:color="auto" w:sz="6" w:space="0"/>
              <w:left w:val="single" w:color="auto" w:sz="6" w:space="0"/>
              <w:bottom w:val="single" w:color="auto" w:sz="6" w:space="0"/>
              <w:right w:val="single" w:color="auto" w:sz="6" w:space="0"/>
            </w:tcBorders>
            <w:vAlign w:val="center"/>
          </w:tcPr>
          <w:p w14:paraId="341EAB9A">
            <w:pPr>
              <w:autoSpaceDE w:val="0"/>
              <w:autoSpaceDN w:val="0"/>
              <w:ind w:firstLine="0" w:firstLineChars="0"/>
              <w:jc w:val="left"/>
              <w:rPr>
                <w:rFonts w:hint="eastAsia" w:asciiTheme="minorEastAsia" w:hAnsiTheme="minorEastAsia" w:cstheme="minorEastAsia"/>
                <w:highlight w:val="none"/>
              </w:rPr>
            </w:pPr>
            <w:r>
              <w:rPr>
                <w:rFonts w:hint="eastAsia" w:asciiTheme="minorEastAsia" w:hAnsiTheme="minorEastAsia" w:cstheme="minorEastAsia"/>
                <w:highlight w:val="none"/>
              </w:rPr>
              <w:t>HIS系统等级保护测评(3级)</w:t>
            </w:r>
          </w:p>
        </w:tc>
        <w:tc>
          <w:tcPr>
            <w:tcW w:w="850" w:type="dxa"/>
            <w:tcBorders>
              <w:top w:val="single" w:color="auto" w:sz="6" w:space="0"/>
              <w:left w:val="single" w:color="auto" w:sz="6" w:space="0"/>
              <w:bottom w:val="single" w:color="auto" w:sz="6" w:space="0"/>
              <w:right w:val="single" w:color="auto" w:sz="6" w:space="0"/>
            </w:tcBorders>
            <w:vAlign w:val="center"/>
          </w:tcPr>
          <w:p w14:paraId="4AC93C57">
            <w:pPr>
              <w:autoSpaceDE w:val="0"/>
              <w:autoSpaceDN w:val="0"/>
              <w:ind w:firstLine="0" w:firstLineChars="0"/>
              <w:jc w:val="center"/>
              <w:rPr>
                <w:rFonts w:hint="eastAsia" w:asciiTheme="minorEastAsia" w:hAnsiTheme="minorEastAsia" w:cstheme="minorEastAsia"/>
                <w:highlight w:val="none"/>
              </w:rPr>
            </w:pPr>
            <w:r>
              <w:rPr>
                <w:rFonts w:hint="eastAsia" w:asciiTheme="minorEastAsia" w:hAnsiTheme="minorEastAsia" w:cstheme="minorEastAsia"/>
                <w:highlight w:val="none"/>
              </w:rPr>
              <w:t>项</w:t>
            </w:r>
          </w:p>
        </w:tc>
        <w:tc>
          <w:tcPr>
            <w:tcW w:w="851" w:type="dxa"/>
            <w:tcBorders>
              <w:top w:val="single" w:color="auto" w:sz="6" w:space="0"/>
              <w:left w:val="single" w:color="auto" w:sz="6" w:space="0"/>
              <w:bottom w:val="single" w:color="auto" w:sz="6" w:space="0"/>
              <w:right w:val="single" w:color="auto" w:sz="6" w:space="0"/>
            </w:tcBorders>
            <w:vAlign w:val="center"/>
          </w:tcPr>
          <w:p w14:paraId="05C7989D">
            <w:pPr>
              <w:autoSpaceDE w:val="0"/>
              <w:autoSpaceDN w:val="0"/>
              <w:ind w:firstLine="0" w:firstLineChars="0"/>
              <w:jc w:val="center"/>
              <w:rPr>
                <w:rFonts w:hint="eastAsia" w:eastAsia="仿宋" w:asciiTheme="minorEastAsia" w:hAnsiTheme="minorEastAsia" w:cstheme="minorEastAsia"/>
                <w:highlight w:val="none"/>
                <w:lang w:eastAsia="zh-CN"/>
              </w:rPr>
            </w:pPr>
            <w:r>
              <w:rPr>
                <w:rFonts w:hint="eastAsia" w:asciiTheme="minorEastAsia" w:hAnsiTheme="minorEastAsia" w:cstheme="minorEastAsia"/>
                <w:highlight w:val="none"/>
                <w:lang w:val="en-US" w:eastAsia="zh-CN"/>
              </w:rPr>
              <w:t>2</w:t>
            </w:r>
          </w:p>
        </w:tc>
        <w:tc>
          <w:tcPr>
            <w:tcW w:w="4192" w:type="dxa"/>
            <w:tcBorders>
              <w:top w:val="single" w:color="auto" w:sz="6" w:space="0"/>
              <w:left w:val="single" w:color="auto" w:sz="6" w:space="0"/>
              <w:bottom w:val="single" w:color="auto" w:sz="6" w:space="0"/>
              <w:right w:val="single" w:color="auto" w:sz="6" w:space="0"/>
            </w:tcBorders>
            <w:vAlign w:val="center"/>
          </w:tcPr>
          <w:p w14:paraId="4DB56685">
            <w:pPr>
              <w:autoSpaceDE w:val="0"/>
              <w:autoSpaceDN w:val="0"/>
              <w:ind w:firstLine="0" w:firstLineChars="0"/>
              <w:jc w:val="left"/>
              <w:rPr>
                <w:rFonts w:hint="eastAsia" w:asciiTheme="minorEastAsia" w:hAnsiTheme="minorEastAsia" w:cstheme="minorEastAsia"/>
                <w:highlight w:val="none"/>
              </w:rPr>
            </w:pPr>
            <w:r>
              <w:rPr>
                <w:rFonts w:hint="eastAsia" w:asciiTheme="minorEastAsia" w:hAnsiTheme="minorEastAsia" w:cstheme="minorEastAsia"/>
                <w:highlight w:val="none"/>
              </w:rPr>
              <w:t>提交相关系统《等级保护测评报告》，通过单位相关部门的验收。</w:t>
            </w:r>
          </w:p>
        </w:tc>
      </w:tr>
      <w:tr w14:paraId="0DAB6071">
        <w:tblPrEx>
          <w:tblCellMar>
            <w:top w:w="0" w:type="dxa"/>
            <w:left w:w="30" w:type="dxa"/>
            <w:bottom w:w="0" w:type="dxa"/>
            <w:right w:w="30" w:type="dxa"/>
          </w:tblCellMar>
        </w:tblPrEx>
        <w:trPr>
          <w:trHeight w:val="1355" w:hRule="exact"/>
          <w:tblHeader/>
        </w:trPr>
        <w:tc>
          <w:tcPr>
            <w:tcW w:w="701" w:type="dxa"/>
            <w:tcBorders>
              <w:top w:val="single" w:color="auto" w:sz="6" w:space="0"/>
              <w:left w:val="single" w:color="auto" w:sz="6" w:space="0"/>
              <w:bottom w:val="single" w:color="auto" w:sz="6" w:space="0"/>
              <w:right w:val="single" w:color="auto" w:sz="6" w:space="0"/>
            </w:tcBorders>
            <w:vAlign w:val="center"/>
          </w:tcPr>
          <w:p w14:paraId="40A908C1">
            <w:pPr>
              <w:autoSpaceDE w:val="0"/>
              <w:autoSpaceDN w:val="0"/>
              <w:ind w:firstLine="0" w:firstLineChars="0"/>
              <w:jc w:val="center"/>
              <w:rPr>
                <w:rFonts w:hint="eastAsia" w:asciiTheme="minorEastAsia" w:hAnsiTheme="minorEastAsia" w:cstheme="minorEastAsia"/>
                <w:highlight w:val="none"/>
              </w:rPr>
            </w:pPr>
            <w:r>
              <w:rPr>
                <w:rFonts w:hint="eastAsia" w:asciiTheme="minorEastAsia" w:hAnsiTheme="minorEastAsia" w:cstheme="minorEastAsia"/>
                <w:highlight w:val="none"/>
              </w:rPr>
              <w:t>2</w:t>
            </w:r>
          </w:p>
        </w:tc>
        <w:tc>
          <w:tcPr>
            <w:tcW w:w="1843" w:type="dxa"/>
            <w:tcBorders>
              <w:top w:val="single" w:color="auto" w:sz="6" w:space="0"/>
              <w:left w:val="single" w:color="auto" w:sz="6" w:space="0"/>
              <w:bottom w:val="single" w:color="auto" w:sz="6" w:space="0"/>
              <w:right w:val="single" w:color="auto" w:sz="6" w:space="0"/>
            </w:tcBorders>
            <w:vAlign w:val="center"/>
          </w:tcPr>
          <w:p w14:paraId="4A388515">
            <w:pPr>
              <w:autoSpaceDE w:val="0"/>
              <w:autoSpaceDN w:val="0"/>
              <w:ind w:firstLine="0" w:firstLineChars="0"/>
              <w:jc w:val="left"/>
              <w:rPr>
                <w:rFonts w:hint="eastAsia" w:asciiTheme="minorEastAsia" w:hAnsiTheme="minorEastAsia" w:cstheme="minorEastAsia"/>
                <w:highlight w:val="none"/>
              </w:rPr>
            </w:pPr>
            <w:r>
              <w:rPr>
                <w:rFonts w:hint="eastAsia" w:asciiTheme="minorEastAsia" w:hAnsiTheme="minorEastAsia" w:cstheme="minorEastAsia"/>
                <w:highlight w:val="none"/>
              </w:rPr>
              <w:t>电子病历系统等级保护测评（3级）</w:t>
            </w:r>
          </w:p>
        </w:tc>
        <w:tc>
          <w:tcPr>
            <w:tcW w:w="850" w:type="dxa"/>
            <w:tcBorders>
              <w:top w:val="single" w:color="auto" w:sz="6" w:space="0"/>
              <w:left w:val="single" w:color="auto" w:sz="6" w:space="0"/>
              <w:bottom w:val="single" w:color="auto" w:sz="6" w:space="0"/>
              <w:right w:val="single" w:color="auto" w:sz="6" w:space="0"/>
            </w:tcBorders>
            <w:vAlign w:val="center"/>
          </w:tcPr>
          <w:p w14:paraId="4A1E151D">
            <w:pPr>
              <w:autoSpaceDE w:val="0"/>
              <w:autoSpaceDN w:val="0"/>
              <w:ind w:firstLine="0" w:firstLineChars="0"/>
              <w:jc w:val="center"/>
              <w:rPr>
                <w:rFonts w:hint="eastAsia" w:asciiTheme="minorEastAsia" w:hAnsiTheme="minorEastAsia" w:cstheme="minorEastAsia"/>
                <w:highlight w:val="none"/>
              </w:rPr>
            </w:pPr>
            <w:r>
              <w:rPr>
                <w:rFonts w:hint="eastAsia" w:asciiTheme="minorEastAsia" w:hAnsiTheme="minorEastAsia" w:cstheme="minorEastAsia"/>
                <w:highlight w:val="none"/>
              </w:rPr>
              <w:t>项</w:t>
            </w:r>
          </w:p>
        </w:tc>
        <w:tc>
          <w:tcPr>
            <w:tcW w:w="851" w:type="dxa"/>
            <w:tcBorders>
              <w:top w:val="single" w:color="auto" w:sz="6" w:space="0"/>
              <w:left w:val="single" w:color="auto" w:sz="6" w:space="0"/>
              <w:bottom w:val="single" w:color="auto" w:sz="6" w:space="0"/>
              <w:right w:val="single" w:color="auto" w:sz="6" w:space="0"/>
            </w:tcBorders>
            <w:vAlign w:val="center"/>
          </w:tcPr>
          <w:p w14:paraId="4CB64EBE">
            <w:pPr>
              <w:autoSpaceDE w:val="0"/>
              <w:autoSpaceDN w:val="0"/>
              <w:ind w:firstLine="0" w:firstLineChars="0"/>
              <w:jc w:val="center"/>
              <w:rPr>
                <w:rFonts w:hint="eastAsia" w:eastAsia="仿宋" w:asciiTheme="minorEastAsia" w:hAnsiTheme="minorEastAsia" w:cstheme="minorEastAsia"/>
                <w:highlight w:val="none"/>
                <w:lang w:eastAsia="zh-CN"/>
              </w:rPr>
            </w:pPr>
            <w:r>
              <w:rPr>
                <w:rFonts w:hint="eastAsia" w:asciiTheme="minorEastAsia" w:hAnsiTheme="minorEastAsia" w:cstheme="minorEastAsia"/>
                <w:highlight w:val="none"/>
                <w:lang w:val="en-US" w:eastAsia="zh-CN"/>
              </w:rPr>
              <w:t>2</w:t>
            </w:r>
          </w:p>
        </w:tc>
        <w:tc>
          <w:tcPr>
            <w:tcW w:w="4192" w:type="dxa"/>
            <w:tcBorders>
              <w:top w:val="single" w:color="auto" w:sz="6" w:space="0"/>
              <w:left w:val="single" w:color="auto" w:sz="6" w:space="0"/>
              <w:bottom w:val="single" w:color="auto" w:sz="6" w:space="0"/>
              <w:right w:val="single" w:color="auto" w:sz="6" w:space="0"/>
            </w:tcBorders>
            <w:vAlign w:val="center"/>
          </w:tcPr>
          <w:p w14:paraId="1FD98155">
            <w:pPr>
              <w:autoSpaceDE w:val="0"/>
              <w:autoSpaceDN w:val="0"/>
              <w:ind w:firstLine="0" w:firstLineChars="0"/>
              <w:jc w:val="left"/>
              <w:rPr>
                <w:rFonts w:asciiTheme="minorEastAsia" w:hAnsiTheme="minorEastAsia" w:cstheme="minorEastAsia"/>
                <w:highlight w:val="none"/>
              </w:rPr>
            </w:pPr>
            <w:r>
              <w:rPr>
                <w:rFonts w:hint="eastAsia" w:asciiTheme="minorEastAsia" w:hAnsiTheme="minorEastAsia" w:cstheme="minorEastAsia"/>
                <w:highlight w:val="none"/>
              </w:rPr>
              <w:t>提交相关系统《等级保护测评报告》，通过单位相关部门的验收。</w:t>
            </w:r>
          </w:p>
          <w:p w14:paraId="4025CD58">
            <w:pPr>
              <w:pStyle w:val="2"/>
              <w:rPr>
                <w:rFonts w:hint="eastAsia"/>
                <w:highlight w:val="none"/>
              </w:rPr>
            </w:pPr>
          </w:p>
        </w:tc>
      </w:tr>
      <w:tr w14:paraId="18B3B7AA">
        <w:tblPrEx>
          <w:tblCellMar>
            <w:top w:w="0" w:type="dxa"/>
            <w:left w:w="30" w:type="dxa"/>
            <w:bottom w:w="0" w:type="dxa"/>
            <w:right w:w="30" w:type="dxa"/>
          </w:tblCellMar>
        </w:tblPrEx>
        <w:trPr>
          <w:trHeight w:val="1288" w:hRule="exact"/>
          <w:tblHeader/>
        </w:trPr>
        <w:tc>
          <w:tcPr>
            <w:tcW w:w="701" w:type="dxa"/>
            <w:tcBorders>
              <w:top w:val="single" w:color="auto" w:sz="6" w:space="0"/>
              <w:left w:val="single" w:color="auto" w:sz="6" w:space="0"/>
              <w:bottom w:val="single" w:color="auto" w:sz="6" w:space="0"/>
              <w:right w:val="single" w:color="auto" w:sz="6" w:space="0"/>
            </w:tcBorders>
            <w:vAlign w:val="center"/>
          </w:tcPr>
          <w:p w14:paraId="648F4D89">
            <w:pPr>
              <w:autoSpaceDE w:val="0"/>
              <w:autoSpaceDN w:val="0"/>
              <w:ind w:firstLine="0" w:firstLineChars="0"/>
              <w:jc w:val="center"/>
              <w:rPr>
                <w:rFonts w:hint="eastAsia" w:asciiTheme="minorEastAsia" w:hAnsiTheme="minorEastAsia" w:cstheme="minorEastAsia"/>
                <w:highlight w:val="none"/>
              </w:rPr>
            </w:pPr>
            <w:r>
              <w:rPr>
                <w:rFonts w:hint="eastAsia" w:asciiTheme="minorEastAsia" w:hAnsiTheme="minorEastAsia" w:cstheme="minorEastAsia"/>
                <w:highlight w:val="none"/>
              </w:rPr>
              <w:t>3</w:t>
            </w:r>
          </w:p>
        </w:tc>
        <w:tc>
          <w:tcPr>
            <w:tcW w:w="1843" w:type="dxa"/>
            <w:tcBorders>
              <w:top w:val="single" w:color="auto" w:sz="6" w:space="0"/>
              <w:left w:val="single" w:color="auto" w:sz="6" w:space="0"/>
              <w:bottom w:val="single" w:color="auto" w:sz="6" w:space="0"/>
              <w:right w:val="single" w:color="auto" w:sz="6" w:space="0"/>
            </w:tcBorders>
            <w:vAlign w:val="center"/>
          </w:tcPr>
          <w:p w14:paraId="0FF519F6">
            <w:pPr>
              <w:autoSpaceDE w:val="0"/>
              <w:autoSpaceDN w:val="0"/>
              <w:ind w:firstLine="0" w:firstLineChars="0"/>
              <w:jc w:val="left"/>
              <w:rPr>
                <w:rFonts w:hint="eastAsia" w:asciiTheme="minorEastAsia" w:hAnsiTheme="minorEastAsia" w:cstheme="minorEastAsia"/>
                <w:highlight w:val="none"/>
              </w:rPr>
            </w:pPr>
            <w:r>
              <w:rPr>
                <w:rFonts w:hint="eastAsia" w:asciiTheme="minorEastAsia" w:hAnsiTheme="minorEastAsia" w:cstheme="minorEastAsia"/>
                <w:highlight w:val="none"/>
              </w:rPr>
              <w:t>PACS系统等级保护测评（2级）</w:t>
            </w:r>
          </w:p>
        </w:tc>
        <w:tc>
          <w:tcPr>
            <w:tcW w:w="850" w:type="dxa"/>
            <w:tcBorders>
              <w:top w:val="single" w:color="auto" w:sz="6" w:space="0"/>
              <w:left w:val="single" w:color="auto" w:sz="6" w:space="0"/>
              <w:bottom w:val="single" w:color="auto" w:sz="6" w:space="0"/>
              <w:right w:val="single" w:color="auto" w:sz="6" w:space="0"/>
            </w:tcBorders>
            <w:vAlign w:val="center"/>
          </w:tcPr>
          <w:p w14:paraId="7828F396">
            <w:pPr>
              <w:autoSpaceDE w:val="0"/>
              <w:autoSpaceDN w:val="0"/>
              <w:ind w:firstLine="0" w:firstLineChars="0"/>
              <w:jc w:val="center"/>
              <w:rPr>
                <w:rFonts w:hint="eastAsia" w:asciiTheme="minorEastAsia" w:hAnsiTheme="minorEastAsia" w:cstheme="minorEastAsia"/>
                <w:highlight w:val="none"/>
              </w:rPr>
            </w:pPr>
            <w:r>
              <w:rPr>
                <w:rFonts w:hint="eastAsia" w:asciiTheme="minorEastAsia" w:hAnsiTheme="minorEastAsia" w:cstheme="minorEastAsia"/>
                <w:highlight w:val="none"/>
              </w:rPr>
              <w:t>项</w:t>
            </w:r>
          </w:p>
        </w:tc>
        <w:tc>
          <w:tcPr>
            <w:tcW w:w="851" w:type="dxa"/>
            <w:tcBorders>
              <w:top w:val="single" w:color="auto" w:sz="6" w:space="0"/>
              <w:left w:val="single" w:color="auto" w:sz="6" w:space="0"/>
              <w:bottom w:val="single" w:color="auto" w:sz="6" w:space="0"/>
              <w:right w:val="single" w:color="auto" w:sz="6" w:space="0"/>
            </w:tcBorders>
            <w:vAlign w:val="center"/>
          </w:tcPr>
          <w:p w14:paraId="1E0D1C74">
            <w:pPr>
              <w:autoSpaceDE w:val="0"/>
              <w:autoSpaceDN w:val="0"/>
              <w:ind w:firstLine="0" w:firstLineChars="0"/>
              <w:jc w:val="center"/>
              <w:rPr>
                <w:rFonts w:hint="eastAsia" w:eastAsia="仿宋" w:asciiTheme="minorEastAsia" w:hAnsiTheme="minorEastAsia" w:cstheme="minorEastAsia"/>
                <w:highlight w:val="none"/>
                <w:lang w:eastAsia="zh-CN"/>
              </w:rPr>
            </w:pPr>
            <w:r>
              <w:rPr>
                <w:rFonts w:hint="eastAsia" w:asciiTheme="minorEastAsia" w:hAnsiTheme="minorEastAsia" w:cstheme="minorEastAsia"/>
                <w:highlight w:val="none"/>
                <w:lang w:val="en-US" w:eastAsia="zh-CN"/>
              </w:rPr>
              <w:t>2</w:t>
            </w:r>
          </w:p>
        </w:tc>
        <w:tc>
          <w:tcPr>
            <w:tcW w:w="4192" w:type="dxa"/>
            <w:tcBorders>
              <w:top w:val="single" w:color="auto" w:sz="6" w:space="0"/>
              <w:left w:val="single" w:color="auto" w:sz="6" w:space="0"/>
              <w:bottom w:val="single" w:color="auto" w:sz="6" w:space="0"/>
              <w:right w:val="single" w:color="auto" w:sz="6" w:space="0"/>
            </w:tcBorders>
            <w:vAlign w:val="center"/>
          </w:tcPr>
          <w:p w14:paraId="6FD5E4AC">
            <w:pPr>
              <w:autoSpaceDE w:val="0"/>
              <w:autoSpaceDN w:val="0"/>
              <w:ind w:firstLine="0" w:firstLineChars="0"/>
              <w:jc w:val="left"/>
              <w:rPr>
                <w:rFonts w:hint="eastAsia" w:asciiTheme="minorEastAsia" w:hAnsiTheme="minorEastAsia" w:cstheme="minorEastAsia"/>
                <w:highlight w:val="none"/>
              </w:rPr>
            </w:pPr>
            <w:r>
              <w:rPr>
                <w:rFonts w:hint="eastAsia" w:asciiTheme="minorEastAsia" w:hAnsiTheme="minorEastAsia" w:cstheme="minorEastAsia"/>
                <w:highlight w:val="none"/>
              </w:rPr>
              <w:t>提交相关系统《等级保护测评报告》，通过单位相关部门的验收。</w:t>
            </w:r>
          </w:p>
        </w:tc>
      </w:tr>
    </w:tbl>
    <w:p w14:paraId="37891E9A">
      <w:pPr>
        <w:rPr>
          <w:rFonts w:hint="eastAsia" w:asciiTheme="minorEastAsia" w:hAnsiTheme="minorEastAsia" w:cstheme="minorEastAsia"/>
          <w:highlight w:val="none"/>
        </w:rPr>
      </w:pPr>
      <w:r>
        <w:rPr>
          <w:rFonts w:hint="eastAsia" w:asciiTheme="minorEastAsia" w:hAnsiTheme="minorEastAsia" w:cstheme="minorEastAsia"/>
          <w:highlight w:val="none"/>
        </w:rPr>
        <w:t>本次测评指标和对象选择须符合国标《GB/T 28448-2019网络安全等级保护测评要求》的相关要求。具体测评要求如下：安全技术测评：包括安全物理环境、安全通信网络、安全区域边界、安全计算环境、安全管理中心等五个方面的安全测评；</w:t>
      </w:r>
    </w:p>
    <w:p w14:paraId="713E89B5">
      <w:pPr>
        <w:rPr>
          <w:rFonts w:hint="eastAsia" w:asciiTheme="minorEastAsia" w:hAnsiTheme="minorEastAsia" w:cstheme="minorEastAsia"/>
          <w:highlight w:val="none"/>
        </w:rPr>
      </w:pPr>
      <w:r>
        <w:rPr>
          <w:rFonts w:hint="eastAsia" w:asciiTheme="minorEastAsia" w:hAnsiTheme="minorEastAsia" w:cstheme="minorEastAsia"/>
          <w:highlight w:val="none"/>
        </w:rPr>
        <w:t>安全管理测评：包括安全管理制度、安全管理机构、安全管理人员、安全建设管理和系统运维管理等五个方面的安全测评。</w:t>
      </w:r>
    </w:p>
    <w:p w14:paraId="57EF8A6D">
      <w:pPr>
        <w:rPr>
          <w:rFonts w:hint="eastAsia" w:asciiTheme="minorEastAsia" w:hAnsiTheme="minorEastAsia" w:cstheme="minorEastAsia"/>
          <w:highlight w:val="none"/>
        </w:rPr>
      </w:pPr>
      <w:r>
        <w:rPr>
          <w:rFonts w:hint="eastAsia" w:asciiTheme="minorEastAsia" w:hAnsiTheme="minorEastAsia" w:cstheme="minorEastAsia"/>
          <w:highlight w:val="none"/>
        </w:rPr>
        <w:t>安全物理环境测评对象为对对支持运行的基础物理设施环境以及相关的硬件设备和介质等，包括物理位置选择、物理访问控制、防盗窃和防破坏、防雷击、防火、防水和防潮、防静电、温湿度控制、电力供应和电磁防护等方面的安全状况。</w:t>
      </w:r>
    </w:p>
    <w:p w14:paraId="5AE88AF3">
      <w:pPr>
        <w:rPr>
          <w:rFonts w:hint="eastAsia" w:asciiTheme="minorEastAsia" w:hAnsiTheme="minorEastAsia" w:cstheme="minorEastAsia"/>
          <w:highlight w:val="none"/>
        </w:rPr>
      </w:pPr>
      <w:r>
        <w:rPr>
          <w:rFonts w:hint="eastAsia" w:asciiTheme="minorEastAsia" w:hAnsiTheme="minorEastAsia" w:cstheme="minorEastAsia"/>
          <w:highlight w:val="none"/>
        </w:rPr>
        <w:t>安全通信网络是对通信网络的构成组件进行测评。通信网络的构成组件负责支撑信息系统进行网络互联，为等级保护对象各个部分进行安全通信传输，一般包括网络设备、通信链路以及网络拓扑等。测评内容主要包括网络架构、通信传输和可信验证。</w:t>
      </w:r>
    </w:p>
    <w:p w14:paraId="7AB8442F">
      <w:pPr>
        <w:rPr>
          <w:rFonts w:hint="eastAsia" w:asciiTheme="minorEastAsia" w:hAnsiTheme="minorEastAsia" w:cstheme="minorEastAsia"/>
          <w:highlight w:val="none"/>
        </w:rPr>
      </w:pPr>
      <w:r>
        <w:rPr>
          <w:rFonts w:hint="eastAsia" w:asciiTheme="minorEastAsia" w:hAnsiTheme="minorEastAsia" w:cstheme="minorEastAsia"/>
          <w:highlight w:val="none"/>
        </w:rPr>
        <w:t>安全区域边界需要对边界防护、访问控制、入侵防范、恶意代码和反垃圾邮件防范和安全审计等方面进行测评。</w:t>
      </w:r>
    </w:p>
    <w:p w14:paraId="556749A3">
      <w:pPr>
        <w:rPr>
          <w:rFonts w:hint="eastAsia" w:asciiTheme="minorEastAsia" w:hAnsiTheme="minorEastAsia" w:cstheme="minorEastAsia"/>
          <w:highlight w:val="none"/>
        </w:rPr>
      </w:pPr>
      <w:r>
        <w:rPr>
          <w:rFonts w:hint="eastAsia" w:asciiTheme="minorEastAsia" w:hAnsiTheme="minorEastAsia" w:cstheme="minorEastAsia"/>
          <w:highlight w:val="none"/>
        </w:rPr>
        <w:t>安全计算环境需要对身份鉴别、访问控制、安全审计、可信验证、入侵防范、恶意代码防范、数据完整性、数据保密性、数据备份恢复和个人信息保护等方面进行测评。</w:t>
      </w:r>
    </w:p>
    <w:p w14:paraId="1D790CDE">
      <w:pPr>
        <w:rPr>
          <w:rFonts w:hint="eastAsia" w:asciiTheme="minorEastAsia" w:hAnsiTheme="minorEastAsia" w:cstheme="minorEastAsia"/>
          <w:highlight w:val="none"/>
        </w:rPr>
      </w:pPr>
      <w:r>
        <w:rPr>
          <w:rFonts w:hint="eastAsia" w:asciiTheme="minorEastAsia" w:hAnsiTheme="minorEastAsia" w:cstheme="minorEastAsia"/>
          <w:highlight w:val="none"/>
        </w:rPr>
        <w:t>安全管理中心需要对系统管理、审计管理、安全管理和集中管控等方面进行测评。</w:t>
      </w:r>
    </w:p>
    <w:p w14:paraId="3FDE9776">
      <w:pPr>
        <w:rPr>
          <w:rFonts w:hint="eastAsia" w:asciiTheme="minorEastAsia" w:hAnsiTheme="minorEastAsia" w:cstheme="minorEastAsia"/>
          <w:highlight w:val="none"/>
        </w:rPr>
      </w:pPr>
      <w:r>
        <w:rPr>
          <w:rFonts w:hint="eastAsia" w:asciiTheme="minorEastAsia" w:hAnsiTheme="minorEastAsia" w:cstheme="minorEastAsia"/>
          <w:highlight w:val="none"/>
        </w:rPr>
        <w:t>安全管理制度测评是对系统的安全管理制度体系和制度内容、制定和发布流程、评审和修订机制等情况进行测评。</w:t>
      </w:r>
    </w:p>
    <w:p w14:paraId="1DE2F438">
      <w:pPr>
        <w:rPr>
          <w:rFonts w:hint="eastAsia" w:asciiTheme="minorEastAsia" w:hAnsiTheme="minorEastAsia" w:cstheme="minorEastAsia"/>
          <w:highlight w:val="none"/>
        </w:rPr>
      </w:pPr>
      <w:r>
        <w:rPr>
          <w:rFonts w:hint="eastAsia" w:asciiTheme="minorEastAsia" w:hAnsiTheme="minorEastAsia" w:cstheme="minorEastAsia"/>
          <w:highlight w:val="none"/>
        </w:rPr>
        <w:t>安全管理机构测评是对整个管理组织架构和岗位设置、人员配备、授权和审批、沟通和合作、审核和检查等情况进行测评。</w:t>
      </w:r>
    </w:p>
    <w:p w14:paraId="1AE949D3">
      <w:pPr>
        <w:rPr>
          <w:rFonts w:hint="eastAsia" w:asciiTheme="minorEastAsia" w:hAnsiTheme="minorEastAsia" w:cstheme="minorEastAsia"/>
          <w:highlight w:val="none"/>
        </w:rPr>
      </w:pPr>
      <w:r>
        <w:rPr>
          <w:rFonts w:hint="eastAsia" w:asciiTheme="minorEastAsia" w:hAnsiTheme="minorEastAsia" w:cstheme="minorEastAsia"/>
          <w:highlight w:val="none"/>
        </w:rPr>
        <w:t>人员安全管理测评是对人员管理模式提出的安全控制要求，包含对人员录用、人员离岗、人员考核、安全意识教育和培训，以及外部人员访问管理等情况进行测评。</w:t>
      </w:r>
    </w:p>
    <w:p w14:paraId="4654753A">
      <w:pPr>
        <w:rPr>
          <w:rFonts w:hint="eastAsia" w:asciiTheme="minorEastAsia" w:hAnsiTheme="minorEastAsia" w:cstheme="minorEastAsia"/>
          <w:highlight w:val="none"/>
        </w:rPr>
      </w:pPr>
      <w:r>
        <w:rPr>
          <w:rFonts w:hint="eastAsia" w:asciiTheme="minorEastAsia" w:hAnsiTheme="minorEastAsia" w:cstheme="minorEastAsia"/>
          <w:highlight w:val="none"/>
        </w:rPr>
        <w:t>安全建设管理测评是对系统建设过程中的系统定级和备案、安全方案设计、产品采购和使用、自主软件开发、外包软件开发、工程实施、测试验收、系统交付、等级测评、安全服务商选择等情况进行测评。</w:t>
      </w:r>
    </w:p>
    <w:p w14:paraId="481513A9">
      <w:pPr>
        <w:rPr>
          <w:rFonts w:hint="eastAsia" w:asciiTheme="minorEastAsia" w:hAnsiTheme="minorEastAsia" w:cstheme="minorEastAsia"/>
          <w:highlight w:val="none"/>
        </w:rPr>
      </w:pPr>
      <w:r>
        <w:rPr>
          <w:rFonts w:hint="eastAsia" w:asciiTheme="minorEastAsia" w:hAnsiTheme="minorEastAsia" w:cstheme="minorEastAsia"/>
          <w:highlight w:val="none"/>
        </w:rPr>
        <w:t>系统运维管理测评是对系统运行维护过程中的环境管理、资产管理、介质管理、设备管理、监控管理和安全管理中心、网络安全管理、系统安全管理、恶意代码防范管理、密码管理、变更管理、备份与恢复管理、安全事件处置、应急预案管理等情况进行测评。</w:t>
      </w:r>
    </w:p>
    <w:p w14:paraId="59134F71">
      <w:pPr>
        <w:rPr>
          <w:rFonts w:hint="eastAsia" w:asciiTheme="minorEastAsia" w:hAnsiTheme="minorEastAsia" w:cstheme="minorEastAsia"/>
          <w:highlight w:val="none"/>
        </w:rPr>
      </w:pPr>
      <w:r>
        <w:rPr>
          <w:rFonts w:hint="eastAsia" w:asciiTheme="minorEastAsia" w:hAnsiTheme="minorEastAsia" w:cstheme="minorEastAsia"/>
          <w:highlight w:val="none"/>
        </w:rPr>
        <w:t>（1）随着等级保护测评标准的变化，至复测评开始前，若系统发生变更，应答人需负责专家评审及当地网安部门备案工作。</w:t>
      </w:r>
    </w:p>
    <w:p w14:paraId="61A0BAE5">
      <w:pPr>
        <w:rPr>
          <w:rFonts w:hint="eastAsia" w:asciiTheme="minorEastAsia" w:hAnsiTheme="minorEastAsia" w:cstheme="minorEastAsia"/>
          <w:highlight w:val="none"/>
        </w:rPr>
      </w:pPr>
      <w:r>
        <w:rPr>
          <w:rFonts w:hint="eastAsia" w:asciiTheme="minorEastAsia" w:hAnsiTheme="minorEastAsia" w:cstheme="minorEastAsia"/>
          <w:highlight w:val="none"/>
        </w:rPr>
        <w:t>（2）上级管理部门对采购人进行专项、重大事件、重要节日检查时，应答人需配合检查工作，同时对检查中发现的问题进行处理并做好记录。</w:t>
      </w:r>
    </w:p>
    <w:p w14:paraId="417C6E1D">
      <w:pPr>
        <w:rPr>
          <w:rFonts w:hint="eastAsia" w:asciiTheme="minorEastAsia" w:hAnsiTheme="minorEastAsia" w:cstheme="minorEastAsia"/>
          <w:highlight w:val="none"/>
        </w:rPr>
      </w:pPr>
      <w:r>
        <w:rPr>
          <w:rFonts w:hint="eastAsia" w:asciiTheme="minorEastAsia" w:hAnsiTheme="minorEastAsia" w:cstheme="minorEastAsia"/>
          <w:highlight w:val="none"/>
        </w:rPr>
        <w:t>（3）在遇到网络安全事件时，应答人需根据要求进行网络安全事件溯源工作，需要在半小时内安排至少中级测评师以及渗透人员进行安全排查工作。</w:t>
      </w:r>
    </w:p>
    <w:p w14:paraId="262112A6">
      <w:pPr>
        <w:rPr>
          <w:rFonts w:hint="eastAsia" w:asciiTheme="minorEastAsia" w:hAnsiTheme="minorEastAsia" w:cstheme="minorEastAsia"/>
          <w:highlight w:val="none"/>
        </w:rPr>
      </w:pPr>
      <w:r>
        <w:rPr>
          <w:rFonts w:hint="eastAsia" w:asciiTheme="minorEastAsia" w:hAnsiTheme="minorEastAsia" w:cstheme="minorEastAsia"/>
          <w:highlight w:val="none"/>
        </w:rPr>
        <w:t>（4）根据采购人需求，在整体网络安全项目改造实施过程中提供对每个实施部分板块的整体标准要求进行规范，在项目实施前期，中期，后期安排技术人员进行安全基线检查，确保整体网络安全项目实施顺利。</w:t>
      </w:r>
    </w:p>
    <w:p w14:paraId="074EBF23">
      <w:pPr>
        <w:rPr>
          <w:rFonts w:hint="eastAsia" w:asciiTheme="minorEastAsia" w:hAnsiTheme="minorEastAsia" w:cstheme="minorEastAsia"/>
          <w:highlight w:val="none"/>
        </w:rPr>
      </w:pPr>
      <w:r>
        <w:rPr>
          <w:rFonts w:hint="eastAsia" w:asciiTheme="minorEastAsia" w:hAnsiTheme="minorEastAsia" w:cstheme="minorEastAsia"/>
          <w:highlight w:val="none"/>
        </w:rPr>
        <w:t>(5)应答人根据采购人需求，结合客户单位实际情况，开展信息安全培训工作，强化安全意识，了解安全相关法律法规，提升客户有关信息安全方面的基本常识，确保相关人员树立信息安全观念，提高信息安全风险意识，增强信息安全责任感。</w:t>
      </w:r>
    </w:p>
    <w:p w14:paraId="11ADA031">
      <w:pPr>
        <w:rPr>
          <w:rFonts w:hint="eastAsia" w:asciiTheme="minorEastAsia" w:hAnsiTheme="minorEastAsia" w:cstheme="minorEastAsia"/>
          <w:highlight w:val="none"/>
        </w:rPr>
      </w:pPr>
      <w:r>
        <w:rPr>
          <w:rFonts w:hint="eastAsia" w:asciiTheme="minorEastAsia" w:hAnsiTheme="minorEastAsia" w:cstheme="minorEastAsia"/>
          <w:highlight w:val="none"/>
        </w:rPr>
        <w:t>（6）根据密码法的要求，应答人需要提供商用密码应用安全技术相关咨询，帮助采购人了解最新的商用密码应用相关政策及标准规范，并协助采购人发现有重要网络与信息系统的密码应用现状、风险及需求，针对发现的密码应用风险结合采购人实际密码需求提出合理的商用密码应用合规建议，为后续密码建设改造工作提供支撑。</w:t>
      </w:r>
    </w:p>
    <w:p w14:paraId="1716E62E">
      <w:pPr>
        <w:rPr>
          <w:rFonts w:hint="eastAsia"/>
        </w:rPr>
      </w:pPr>
      <w:r>
        <w:rPr>
          <w:rFonts w:hint="eastAsia" w:asciiTheme="minorEastAsia" w:hAnsiTheme="minorEastAsia" w:cstheme="minorEastAsia"/>
          <w:highlight w:val="none"/>
        </w:rPr>
        <w:t>根据国家等级保护相关标准，安全等级保护测评流程分为四个阶段：测评准备阶段、方案编制阶段、现场测评阶段、分析与报告编制阶段。测评完成后，应答人提供整改建议书，配合采购人根据测评范围进行整改实施。</w:t>
      </w:r>
    </w:p>
    <w:p w14:paraId="030ABE5F">
      <w:pPr>
        <w:pStyle w:val="2"/>
        <w:rPr>
          <w:rFonts w:hint="eastAsia"/>
        </w:rPr>
      </w:pPr>
    </w:p>
    <w:p w14:paraId="4CF10812">
      <w:pPr>
        <w:pStyle w:val="2"/>
        <w:rPr>
          <w:rFonts w:hint="eastAsia"/>
        </w:rPr>
      </w:pPr>
    </w:p>
    <w:sectPr>
      <w:headerReference r:id="rId7" w:type="default"/>
      <w:footerReference r:id="rId8" w:type="default"/>
      <w:pgSz w:w="11906" w:h="16838"/>
      <w:pgMar w:top="1440" w:right="1797" w:bottom="1440" w:left="1797" w:header="851" w:footer="992" w:gutter="0"/>
      <w:pgBorders>
        <w:top w:val="single" w:color="auto" w:sz="4" w:space="1"/>
        <w:bottom w:val="single" w:color="auto" w:sz="4" w:space="1"/>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20"/>
      </w:pPr>
      <w:r>
        <w:separator/>
      </w:r>
    </w:p>
  </w:endnote>
  <w:endnote w:type="continuationSeparator" w:id="1">
    <w:p>
      <w:pPr>
        <w:spacing w:line="240" w:lineRule="auto"/>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46E7D">
    <w:pPr>
      <w:pStyle w:val="15"/>
      <w:ind w:firstLine="0" w:firstLineChars="0"/>
      <w:rPr>
        <w:rFonts w:hint="eastAsia"/>
      </w:rPr>
    </w:pPr>
    <w:r>
      <w:rPr>
        <w:rFonts w:hint="eastAsia"/>
      </w:rPr>
      <w:t>网络安全等级保护评测(2024、2025年)</w: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F45B0">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9DF45B0">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A1A17">
    <w:pPr>
      <w:pStyle w:val="15"/>
      <w:ind w:firstLine="0" w:firstLineChars="0"/>
      <w:rPr>
        <w:rFonts w:hint="eastAsia"/>
      </w:rPr>
    </w:pPr>
    <w:r>
      <w:rPr>
        <w:rFonts w:hint="eastAsia"/>
      </w:rPr>
      <w:t>网络安全等级保护评测(2024、2025年)</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3CCEE">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053CCEE">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73459">
    <w:pPr>
      <w:pStyle w:val="15"/>
      <w:ind w:firstLine="0" w:firstLineChars="0"/>
      <w:rPr>
        <w:rFonts w:hint="eastAsia"/>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E08DC">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54E08DC">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20"/>
      </w:pPr>
      <w:r>
        <w:separator/>
      </w:r>
    </w:p>
  </w:footnote>
  <w:footnote w:type="continuationSeparator" w:id="1">
    <w:p>
      <w:pPr>
        <w:spacing w:line="360" w:lineRule="auto"/>
        <w:ind w:firstLine="5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F7CCB">
    <w:pPr>
      <w:pStyle w:val="1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80D9C"/>
    <w:multiLevelType w:val="multilevel"/>
    <w:tmpl w:val="09080D9C"/>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lignBordersAndEdg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iMWE2ZWRlZTg2MDBkYjA0YjlkNDJkY2U3Yjc1ZjAifQ=="/>
  </w:docVars>
  <w:rsids>
    <w:rsidRoot w:val="0BEF0CA1"/>
    <w:rsid w:val="00005627"/>
    <w:rsid w:val="00011C73"/>
    <w:rsid w:val="000165D0"/>
    <w:rsid w:val="0001737B"/>
    <w:rsid w:val="00023560"/>
    <w:rsid w:val="00037F72"/>
    <w:rsid w:val="000421D8"/>
    <w:rsid w:val="0004521A"/>
    <w:rsid w:val="00046608"/>
    <w:rsid w:val="00060779"/>
    <w:rsid w:val="000642B7"/>
    <w:rsid w:val="00064F11"/>
    <w:rsid w:val="0006714D"/>
    <w:rsid w:val="000705A4"/>
    <w:rsid w:val="000728F1"/>
    <w:rsid w:val="00074789"/>
    <w:rsid w:val="00076859"/>
    <w:rsid w:val="00080B3C"/>
    <w:rsid w:val="00085551"/>
    <w:rsid w:val="000978EC"/>
    <w:rsid w:val="000A1A52"/>
    <w:rsid w:val="000A2F14"/>
    <w:rsid w:val="000A38FB"/>
    <w:rsid w:val="000A41FD"/>
    <w:rsid w:val="000B3101"/>
    <w:rsid w:val="000B555A"/>
    <w:rsid w:val="000B5641"/>
    <w:rsid w:val="000C12A3"/>
    <w:rsid w:val="000D7F1D"/>
    <w:rsid w:val="00110E27"/>
    <w:rsid w:val="0012053F"/>
    <w:rsid w:val="001245F6"/>
    <w:rsid w:val="00126497"/>
    <w:rsid w:val="00136D3C"/>
    <w:rsid w:val="00145CD6"/>
    <w:rsid w:val="00155831"/>
    <w:rsid w:val="00156AAE"/>
    <w:rsid w:val="00186F2C"/>
    <w:rsid w:val="0019798F"/>
    <w:rsid w:val="001A5898"/>
    <w:rsid w:val="001D11BD"/>
    <w:rsid w:val="001E2030"/>
    <w:rsid w:val="001F07AA"/>
    <w:rsid w:val="001F2268"/>
    <w:rsid w:val="00220BD0"/>
    <w:rsid w:val="00222BF1"/>
    <w:rsid w:val="002349C0"/>
    <w:rsid w:val="00240AE6"/>
    <w:rsid w:val="00242069"/>
    <w:rsid w:val="00244D2A"/>
    <w:rsid w:val="00247001"/>
    <w:rsid w:val="00253CF5"/>
    <w:rsid w:val="002704BE"/>
    <w:rsid w:val="00274C61"/>
    <w:rsid w:val="002969A8"/>
    <w:rsid w:val="002A172C"/>
    <w:rsid w:val="002A426F"/>
    <w:rsid w:val="002A5063"/>
    <w:rsid w:val="002A7B69"/>
    <w:rsid w:val="002A7F5A"/>
    <w:rsid w:val="002B53DC"/>
    <w:rsid w:val="002B57D4"/>
    <w:rsid w:val="002C15F0"/>
    <w:rsid w:val="002C2362"/>
    <w:rsid w:val="002C27D2"/>
    <w:rsid w:val="002D075A"/>
    <w:rsid w:val="002D3024"/>
    <w:rsid w:val="002E513C"/>
    <w:rsid w:val="002F0D65"/>
    <w:rsid w:val="00300F59"/>
    <w:rsid w:val="00301E3E"/>
    <w:rsid w:val="00304663"/>
    <w:rsid w:val="00313864"/>
    <w:rsid w:val="00314244"/>
    <w:rsid w:val="00314EB7"/>
    <w:rsid w:val="00321D6E"/>
    <w:rsid w:val="00325B85"/>
    <w:rsid w:val="00325C01"/>
    <w:rsid w:val="0036047C"/>
    <w:rsid w:val="00365652"/>
    <w:rsid w:val="00372F25"/>
    <w:rsid w:val="003767B4"/>
    <w:rsid w:val="00380C4E"/>
    <w:rsid w:val="00386D63"/>
    <w:rsid w:val="003B0DD2"/>
    <w:rsid w:val="003B11DA"/>
    <w:rsid w:val="003C399F"/>
    <w:rsid w:val="003D4777"/>
    <w:rsid w:val="003D5E60"/>
    <w:rsid w:val="003E19BB"/>
    <w:rsid w:val="003F4FD3"/>
    <w:rsid w:val="00402B27"/>
    <w:rsid w:val="00405E24"/>
    <w:rsid w:val="00414916"/>
    <w:rsid w:val="00423DD6"/>
    <w:rsid w:val="0043693A"/>
    <w:rsid w:val="00445BC4"/>
    <w:rsid w:val="004503C1"/>
    <w:rsid w:val="00455F50"/>
    <w:rsid w:val="004613C4"/>
    <w:rsid w:val="00470124"/>
    <w:rsid w:val="00477C33"/>
    <w:rsid w:val="00480696"/>
    <w:rsid w:val="004C3382"/>
    <w:rsid w:val="004D1F07"/>
    <w:rsid w:val="004D2EB4"/>
    <w:rsid w:val="004D4AD9"/>
    <w:rsid w:val="004E67BD"/>
    <w:rsid w:val="005074FF"/>
    <w:rsid w:val="005179F3"/>
    <w:rsid w:val="005324C3"/>
    <w:rsid w:val="00536B93"/>
    <w:rsid w:val="00536E22"/>
    <w:rsid w:val="0055163D"/>
    <w:rsid w:val="00557D85"/>
    <w:rsid w:val="00564457"/>
    <w:rsid w:val="00571BAE"/>
    <w:rsid w:val="00575945"/>
    <w:rsid w:val="005761D9"/>
    <w:rsid w:val="00576E52"/>
    <w:rsid w:val="00580FF0"/>
    <w:rsid w:val="0058736F"/>
    <w:rsid w:val="0058744E"/>
    <w:rsid w:val="00593B47"/>
    <w:rsid w:val="005975AA"/>
    <w:rsid w:val="005C6556"/>
    <w:rsid w:val="005D022F"/>
    <w:rsid w:val="005D1778"/>
    <w:rsid w:val="005D58D5"/>
    <w:rsid w:val="005E0D6E"/>
    <w:rsid w:val="005E30B9"/>
    <w:rsid w:val="005F3C3B"/>
    <w:rsid w:val="006011E6"/>
    <w:rsid w:val="00603A2C"/>
    <w:rsid w:val="00604D93"/>
    <w:rsid w:val="0060691C"/>
    <w:rsid w:val="00613149"/>
    <w:rsid w:val="00623043"/>
    <w:rsid w:val="00632461"/>
    <w:rsid w:val="00632E15"/>
    <w:rsid w:val="00634176"/>
    <w:rsid w:val="00652277"/>
    <w:rsid w:val="00664E3C"/>
    <w:rsid w:val="00666AEA"/>
    <w:rsid w:val="00687629"/>
    <w:rsid w:val="006903EE"/>
    <w:rsid w:val="00690C0B"/>
    <w:rsid w:val="00692E80"/>
    <w:rsid w:val="006B781F"/>
    <w:rsid w:val="006C1129"/>
    <w:rsid w:val="006C4F22"/>
    <w:rsid w:val="006D1F44"/>
    <w:rsid w:val="006D3E11"/>
    <w:rsid w:val="006D3FDF"/>
    <w:rsid w:val="006D51F2"/>
    <w:rsid w:val="006E00B6"/>
    <w:rsid w:val="006E1314"/>
    <w:rsid w:val="006F350C"/>
    <w:rsid w:val="006F3B69"/>
    <w:rsid w:val="006F7EFF"/>
    <w:rsid w:val="00710713"/>
    <w:rsid w:val="007120BB"/>
    <w:rsid w:val="007130C2"/>
    <w:rsid w:val="00733E37"/>
    <w:rsid w:val="007375C3"/>
    <w:rsid w:val="007511C9"/>
    <w:rsid w:val="00765802"/>
    <w:rsid w:val="00776E4E"/>
    <w:rsid w:val="00790D9C"/>
    <w:rsid w:val="007A6E01"/>
    <w:rsid w:val="007B1B46"/>
    <w:rsid w:val="007B5C41"/>
    <w:rsid w:val="007E5E0A"/>
    <w:rsid w:val="007F103A"/>
    <w:rsid w:val="007F1BB5"/>
    <w:rsid w:val="00811AD0"/>
    <w:rsid w:val="00821194"/>
    <w:rsid w:val="00821BE1"/>
    <w:rsid w:val="00833361"/>
    <w:rsid w:val="00840DFA"/>
    <w:rsid w:val="0084657B"/>
    <w:rsid w:val="00866624"/>
    <w:rsid w:val="00870012"/>
    <w:rsid w:val="00873EBB"/>
    <w:rsid w:val="008911E8"/>
    <w:rsid w:val="008A2B78"/>
    <w:rsid w:val="008C4517"/>
    <w:rsid w:val="00901077"/>
    <w:rsid w:val="00915D8B"/>
    <w:rsid w:val="009209EB"/>
    <w:rsid w:val="00920B45"/>
    <w:rsid w:val="00921681"/>
    <w:rsid w:val="00941CE2"/>
    <w:rsid w:val="009610EE"/>
    <w:rsid w:val="00962CEC"/>
    <w:rsid w:val="00975DE4"/>
    <w:rsid w:val="00976CDC"/>
    <w:rsid w:val="00977216"/>
    <w:rsid w:val="00996184"/>
    <w:rsid w:val="00996DC4"/>
    <w:rsid w:val="009A6202"/>
    <w:rsid w:val="009B34C6"/>
    <w:rsid w:val="009E7EDC"/>
    <w:rsid w:val="00A02101"/>
    <w:rsid w:val="00A11E7E"/>
    <w:rsid w:val="00A2361D"/>
    <w:rsid w:val="00A23650"/>
    <w:rsid w:val="00A23D1E"/>
    <w:rsid w:val="00A36831"/>
    <w:rsid w:val="00A41CBE"/>
    <w:rsid w:val="00A5567F"/>
    <w:rsid w:val="00A7259C"/>
    <w:rsid w:val="00A72EB2"/>
    <w:rsid w:val="00A84AD4"/>
    <w:rsid w:val="00A902B3"/>
    <w:rsid w:val="00A91A71"/>
    <w:rsid w:val="00AA0B40"/>
    <w:rsid w:val="00AB12E8"/>
    <w:rsid w:val="00AD1400"/>
    <w:rsid w:val="00AE0D61"/>
    <w:rsid w:val="00AE41CA"/>
    <w:rsid w:val="00AE4B4B"/>
    <w:rsid w:val="00AE6EBD"/>
    <w:rsid w:val="00AF65EA"/>
    <w:rsid w:val="00B21809"/>
    <w:rsid w:val="00B3436D"/>
    <w:rsid w:val="00B4328B"/>
    <w:rsid w:val="00B4368E"/>
    <w:rsid w:val="00B50FDC"/>
    <w:rsid w:val="00B53C9E"/>
    <w:rsid w:val="00B54F50"/>
    <w:rsid w:val="00B7447D"/>
    <w:rsid w:val="00B83598"/>
    <w:rsid w:val="00B97D50"/>
    <w:rsid w:val="00BB0458"/>
    <w:rsid w:val="00BB3556"/>
    <w:rsid w:val="00BC1BE8"/>
    <w:rsid w:val="00BE247D"/>
    <w:rsid w:val="00BE2543"/>
    <w:rsid w:val="00BE7D5C"/>
    <w:rsid w:val="00BF1C3D"/>
    <w:rsid w:val="00BF565A"/>
    <w:rsid w:val="00C10CA7"/>
    <w:rsid w:val="00C21475"/>
    <w:rsid w:val="00C412A2"/>
    <w:rsid w:val="00C42504"/>
    <w:rsid w:val="00C52461"/>
    <w:rsid w:val="00C61E43"/>
    <w:rsid w:val="00C74479"/>
    <w:rsid w:val="00C959D4"/>
    <w:rsid w:val="00C96FE3"/>
    <w:rsid w:val="00C97379"/>
    <w:rsid w:val="00CA605E"/>
    <w:rsid w:val="00CA7051"/>
    <w:rsid w:val="00CD19EF"/>
    <w:rsid w:val="00CD21C8"/>
    <w:rsid w:val="00CD44CB"/>
    <w:rsid w:val="00CE5D70"/>
    <w:rsid w:val="00D04E03"/>
    <w:rsid w:val="00D1331F"/>
    <w:rsid w:val="00D30666"/>
    <w:rsid w:val="00D4278B"/>
    <w:rsid w:val="00D55FF3"/>
    <w:rsid w:val="00D56964"/>
    <w:rsid w:val="00D64D20"/>
    <w:rsid w:val="00D671B7"/>
    <w:rsid w:val="00D756D8"/>
    <w:rsid w:val="00D77CE6"/>
    <w:rsid w:val="00D8376F"/>
    <w:rsid w:val="00DA6CAE"/>
    <w:rsid w:val="00DB62A7"/>
    <w:rsid w:val="00DC05C9"/>
    <w:rsid w:val="00DC54B3"/>
    <w:rsid w:val="00DE090B"/>
    <w:rsid w:val="00DE3ED9"/>
    <w:rsid w:val="00DE4259"/>
    <w:rsid w:val="00DE7C8C"/>
    <w:rsid w:val="00E05E30"/>
    <w:rsid w:val="00E1539F"/>
    <w:rsid w:val="00E30BD1"/>
    <w:rsid w:val="00E31FA6"/>
    <w:rsid w:val="00E356E0"/>
    <w:rsid w:val="00E56F3C"/>
    <w:rsid w:val="00E64B4E"/>
    <w:rsid w:val="00E70CAD"/>
    <w:rsid w:val="00E7624E"/>
    <w:rsid w:val="00E7758B"/>
    <w:rsid w:val="00E809E5"/>
    <w:rsid w:val="00E82350"/>
    <w:rsid w:val="00EA20DA"/>
    <w:rsid w:val="00EA7F53"/>
    <w:rsid w:val="00EB7484"/>
    <w:rsid w:val="00EB787A"/>
    <w:rsid w:val="00ED4C9B"/>
    <w:rsid w:val="00ED553C"/>
    <w:rsid w:val="00ED7403"/>
    <w:rsid w:val="00EE3347"/>
    <w:rsid w:val="00EE353F"/>
    <w:rsid w:val="00EF3E7B"/>
    <w:rsid w:val="00EF6F82"/>
    <w:rsid w:val="00F1034F"/>
    <w:rsid w:val="00F1399F"/>
    <w:rsid w:val="00F2009D"/>
    <w:rsid w:val="00F20EC3"/>
    <w:rsid w:val="00F23E72"/>
    <w:rsid w:val="00F26758"/>
    <w:rsid w:val="00F40617"/>
    <w:rsid w:val="00F45CD0"/>
    <w:rsid w:val="00F464E1"/>
    <w:rsid w:val="00F56C4B"/>
    <w:rsid w:val="00F57D77"/>
    <w:rsid w:val="00F624DF"/>
    <w:rsid w:val="00F9169F"/>
    <w:rsid w:val="00F9187D"/>
    <w:rsid w:val="00FB1C62"/>
    <w:rsid w:val="00FB7AA6"/>
    <w:rsid w:val="00FC2096"/>
    <w:rsid w:val="00FC225B"/>
    <w:rsid w:val="00FC5DC2"/>
    <w:rsid w:val="00FD00CC"/>
    <w:rsid w:val="00FD7D96"/>
    <w:rsid w:val="0112235E"/>
    <w:rsid w:val="015D2F21"/>
    <w:rsid w:val="01690B38"/>
    <w:rsid w:val="01B97DC6"/>
    <w:rsid w:val="01E2289F"/>
    <w:rsid w:val="02BF5C83"/>
    <w:rsid w:val="03E764E6"/>
    <w:rsid w:val="040E3299"/>
    <w:rsid w:val="0425282F"/>
    <w:rsid w:val="04D01B62"/>
    <w:rsid w:val="0572735F"/>
    <w:rsid w:val="070C7A64"/>
    <w:rsid w:val="071301EA"/>
    <w:rsid w:val="07476999"/>
    <w:rsid w:val="075D07B0"/>
    <w:rsid w:val="07E866C1"/>
    <w:rsid w:val="07F71334"/>
    <w:rsid w:val="08B9637A"/>
    <w:rsid w:val="095435C8"/>
    <w:rsid w:val="09590288"/>
    <w:rsid w:val="098E18F0"/>
    <w:rsid w:val="0A730962"/>
    <w:rsid w:val="0B2F4CCC"/>
    <w:rsid w:val="0BC7741B"/>
    <w:rsid w:val="0BEF0CA1"/>
    <w:rsid w:val="0CD11D4F"/>
    <w:rsid w:val="0DF30E48"/>
    <w:rsid w:val="0DFC1FAF"/>
    <w:rsid w:val="0E2E7F42"/>
    <w:rsid w:val="0F723DBF"/>
    <w:rsid w:val="0FDC0B7B"/>
    <w:rsid w:val="10890561"/>
    <w:rsid w:val="112B4B27"/>
    <w:rsid w:val="11DB16F7"/>
    <w:rsid w:val="12084274"/>
    <w:rsid w:val="12152645"/>
    <w:rsid w:val="125420CD"/>
    <w:rsid w:val="125F568F"/>
    <w:rsid w:val="12AF3796"/>
    <w:rsid w:val="12BC195A"/>
    <w:rsid w:val="130F42F9"/>
    <w:rsid w:val="13727A61"/>
    <w:rsid w:val="142800F1"/>
    <w:rsid w:val="144B61C5"/>
    <w:rsid w:val="14AF10AD"/>
    <w:rsid w:val="1526749B"/>
    <w:rsid w:val="16C45E8A"/>
    <w:rsid w:val="16D848FA"/>
    <w:rsid w:val="175F5ED2"/>
    <w:rsid w:val="17877A09"/>
    <w:rsid w:val="185D3535"/>
    <w:rsid w:val="1AEB240F"/>
    <w:rsid w:val="1AFD3750"/>
    <w:rsid w:val="1BA92A6C"/>
    <w:rsid w:val="1D51693C"/>
    <w:rsid w:val="1DB02966"/>
    <w:rsid w:val="1DD315F6"/>
    <w:rsid w:val="1E090B5B"/>
    <w:rsid w:val="1F970A42"/>
    <w:rsid w:val="20005D86"/>
    <w:rsid w:val="22033AF9"/>
    <w:rsid w:val="22D61673"/>
    <w:rsid w:val="23051C2D"/>
    <w:rsid w:val="2355637B"/>
    <w:rsid w:val="23D26A5E"/>
    <w:rsid w:val="24894310"/>
    <w:rsid w:val="24B959FA"/>
    <w:rsid w:val="25207359"/>
    <w:rsid w:val="25966814"/>
    <w:rsid w:val="269B6379"/>
    <w:rsid w:val="26C30642"/>
    <w:rsid w:val="271D45A0"/>
    <w:rsid w:val="279509D1"/>
    <w:rsid w:val="2805647B"/>
    <w:rsid w:val="28F42CC8"/>
    <w:rsid w:val="2A2A0FA3"/>
    <w:rsid w:val="2A6B5B17"/>
    <w:rsid w:val="2A865490"/>
    <w:rsid w:val="2ABE30FE"/>
    <w:rsid w:val="2BC613C5"/>
    <w:rsid w:val="2BE5303F"/>
    <w:rsid w:val="2D62326F"/>
    <w:rsid w:val="2DB10405"/>
    <w:rsid w:val="2DB9735D"/>
    <w:rsid w:val="2F1A316B"/>
    <w:rsid w:val="2FC035C9"/>
    <w:rsid w:val="2FCB23AA"/>
    <w:rsid w:val="2FFB5F7E"/>
    <w:rsid w:val="311F5BA5"/>
    <w:rsid w:val="32E83CED"/>
    <w:rsid w:val="339B2753"/>
    <w:rsid w:val="34411866"/>
    <w:rsid w:val="34AF2E08"/>
    <w:rsid w:val="34BC705A"/>
    <w:rsid w:val="354B4DF1"/>
    <w:rsid w:val="36FE3DC9"/>
    <w:rsid w:val="371948CE"/>
    <w:rsid w:val="376F7377"/>
    <w:rsid w:val="37F3271D"/>
    <w:rsid w:val="380D7CB5"/>
    <w:rsid w:val="39355B82"/>
    <w:rsid w:val="3AA20D85"/>
    <w:rsid w:val="3AFD6245"/>
    <w:rsid w:val="3B0C09FC"/>
    <w:rsid w:val="3BAF1801"/>
    <w:rsid w:val="3BC2363E"/>
    <w:rsid w:val="3CEC404A"/>
    <w:rsid w:val="3D4F6B11"/>
    <w:rsid w:val="3DB44D7A"/>
    <w:rsid w:val="3DC35563"/>
    <w:rsid w:val="3E681C51"/>
    <w:rsid w:val="3E7D1BC0"/>
    <w:rsid w:val="3E8E72A4"/>
    <w:rsid w:val="3FD44CA2"/>
    <w:rsid w:val="400B29DD"/>
    <w:rsid w:val="40143A93"/>
    <w:rsid w:val="40C046DB"/>
    <w:rsid w:val="41802BE2"/>
    <w:rsid w:val="41C977E4"/>
    <w:rsid w:val="42EE1632"/>
    <w:rsid w:val="43146B2D"/>
    <w:rsid w:val="442D5AA9"/>
    <w:rsid w:val="443B36CB"/>
    <w:rsid w:val="4449014C"/>
    <w:rsid w:val="44694A95"/>
    <w:rsid w:val="44840DCF"/>
    <w:rsid w:val="44C06CF1"/>
    <w:rsid w:val="4563358C"/>
    <w:rsid w:val="466D41CF"/>
    <w:rsid w:val="46771129"/>
    <w:rsid w:val="46C830DB"/>
    <w:rsid w:val="477648D2"/>
    <w:rsid w:val="48D15669"/>
    <w:rsid w:val="48DF4BE0"/>
    <w:rsid w:val="491A4851"/>
    <w:rsid w:val="497172BC"/>
    <w:rsid w:val="49946B7F"/>
    <w:rsid w:val="4B586650"/>
    <w:rsid w:val="4BA705B8"/>
    <w:rsid w:val="4BF12F55"/>
    <w:rsid w:val="4C4035C4"/>
    <w:rsid w:val="4C4A4AFD"/>
    <w:rsid w:val="4C544E82"/>
    <w:rsid w:val="4CA14DC3"/>
    <w:rsid w:val="4CEB7AF1"/>
    <w:rsid w:val="4D5E3470"/>
    <w:rsid w:val="4E60455B"/>
    <w:rsid w:val="4EBD1E45"/>
    <w:rsid w:val="4F6C6D0A"/>
    <w:rsid w:val="4FC83A95"/>
    <w:rsid w:val="50C5607C"/>
    <w:rsid w:val="51397790"/>
    <w:rsid w:val="52383F17"/>
    <w:rsid w:val="52FF6BA2"/>
    <w:rsid w:val="53AC6F2F"/>
    <w:rsid w:val="53B30C49"/>
    <w:rsid w:val="53B44DF8"/>
    <w:rsid w:val="53BF5D3E"/>
    <w:rsid w:val="54317CFA"/>
    <w:rsid w:val="54422C91"/>
    <w:rsid w:val="54431BE6"/>
    <w:rsid w:val="54B66C8D"/>
    <w:rsid w:val="55D73864"/>
    <w:rsid w:val="56064020"/>
    <w:rsid w:val="56154327"/>
    <w:rsid w:val="56F26A1B"/>
    <w:rsid w:val="56FC4557"/>
    <w:rsid w:val="579415D2"/>
    <w:rsid w:val="583C0700"/>
    <w:rsid w:val="58E108DC"/>
    <w:rsid w:val="59ED12DB"/>
    <w:rsid w:val="5AE12934"/>
    <w:rsid w:val="5AF75D19"/>
    <w:rsid w:val="5B1E34C1"/>
    <w:rsid w:val="5B9F3D6F"/>
    <w:rsid w:val="5C285ED6"/>
    <w:rsid w:val="5C5B1A35"/>
    <w:rsid w:val="5CAC69AD"/>
    <w:rsid w:val="5CB851EB"/>
    <w:rsid w:val="5CE25EEE"/>
    <w:rsid w:val="5D8626D1"/>
    <w:rsid w:val="5DD912C8"/>
    <w:rsid w:val="5E2D4DEB"/>
    <w:rsid w:val="5E3159CF"/>
    <w:rsid w:val="5E3F2F8D"/>
    <w:rsid w:val="5E753C59"/>
    <w:rsid w:val="5EE04E7B"/>
    <w:rsid w:val="5EF5177D"/>
    <w:rsid w:val="5FD8738E"/>
    <w:rsid w:val="60181A70"/>
    <w:rsid w:val="60281CDB"/>
    <w:rsid w:val="60D359AD"/>
    <w:rsid w:val="611831F6"/>
    <w:rsid w:val="61585249"/>
    <w:rsid w:val="61F168DA"/>
    <w:rsid w:val="620D5365"/>
    <w:rsid w:val="62AD316A"/>
    <w:rsid w:val="62E71ACA"/>
    <w:rsid w:val="63512B56"/>
    <w:rsid w:val="64DC1AC7"/>
    <w:rsid w:val="659811B8"/>
    <w:rsid w:val="663B46AF"/>
    <w:rsid w:val="663F56CE"/>
    <w:rsid w:val="666E773F"/>
    <w:rsid w:val="66D04237"/>
    <w:rsid w:val="66EA6989"/>
    <w:rsid w:val="66EB7D8E"/>
    <w:rsid w:val="68B8411E"/>
    <w:rsid w:val="68E00114"/>
    <w:rsid w:val="691D083C"/>
    <w:rsid w:val="69336325"/>
    <w:rsid w:val="6999595C"/>
    <w:rsid w:val="6BBE6A78"/>
    <w:rsid w:val="6C060566"/>
    <w:rsid w:val="6C27697C"/>
    <w:rsid w:val="6C9B0ABC"/>
    <w:rsid w:val="6D8F1F73"/>
    <w:rsid w:val="6DF349DB"/>
    <w:rsid w:val="6E5B5A38"/>
    <w:rsid w:val="6E975DEB"/>
    <w:rsid w:val="6EEA6FDA"/>
    <w:rsid w:val="6F3A1C8E"/>
    <w:rsid w:val="6F625643"/>
    <w:rsid w:val="6FC909AE"/>
    <w:rsid w:val="70645B33"/>
    <w:rsid w:val="70C054CB"/>
    <w:rsid w:val="70D270B3"/>
    <w:rsid w:val="712B7D26"/>
    <w:rsid w:val="727928B2"/>
    <w:rsid w:val="72E9126D"/>
    <w:rsid w:val="72F0486A"/>
    <w:rsid w:val="73164B1F"/>
    <w:rsid w:val="737347C9"/>
    <w:rsid w:val="738054AB"/>
    <w:rsid w:val="73920130"/>
    <w:rsid w:val="73A932C2"/>
    <w:rsid w:val="74903746"/>
    <w:rsid w:val="75AE542D"/>
    <w:rsid w:val="76C52A95"/>
    <w:rsid w:val="775022F6"/>
    <w:rsid w:val="776907C3"/>
    <w:rsid w:val="777635F3"/>
    <w:rsid w:val="77786B76"/>
    <w:rsid w:val="77CC209C"/>
    <w:rsid w:val="77E63EC7"/>
    <w:rsid w:val="78BF3B74"/>
    <w:rsid w:val="79B02C94"/>
    <w:rsid w:val="79C95735"/>
    <w:rsid w:val="7A2E7D12"/>
    <w:rsid w:val="7A965EA7"/>
    <w:rsid w:val="7BE2774B"/>
    <w:rsid w:val="7CDF3EC9"/>
    <w:rsid w:val="7E4E10CF"/>
    <w:rsid w:val="7ED4791A"/>
    <w:rsid w:val="7F1B63EB"/>
    <w:rsid w:val="7F297604"/>
    <w:rsid w:val="7FE77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520" w:firstLineChars="200"/>
      <w:jc w:val="both"/>
    </w:pPr>
    <w:rPr>
      <w:rFonts w:ascii="宋体" w:hAnsi="宋体" w:eastAsia="仿宋" w:cs="Times New Roman"/>
      <w:spacing w:val="10"/>
      <w:kern w:val="2"/>
      <w:sz w:val="24"/>
      <w:szCs w:val="21"/>
      <w:lang w:val="en-US" w:eastAsia="zh-CN" w:bidi="ar-SA"/>
    </w:rPr>
  </w:style>
  <w:style w:type="paragraph" w:styleId="3">
    <w:name w:val="heading 1"/>
    <w:basedOn w:val="1"/>
    <w:next w:val="1"/>
    <w:qFormat/>
    <w:uiPriority w:val="0"/>
    <w:pPr>
      <w:keepNext/>
      <w:keepLines/>
      <w:pageBreakBefore/>
      <w:widowControl/>
      <w:numPr>
        <w:ilvl w:val="0"/>
        <w:numId w:val="1"/>
      </w:numPr>
      <w:ind w:firstLine="0" w:firstLineChars="0"/>
      <w:jc w:val="left"/>
      <w:outlineLvl w:val="0"/>
    </w:pPr>
    <w:rPr>
      <w:rFonts w:ascii="仿宋_GB2312" w:hAnsi="仿宋_GB2312" w:eastAsia="仿宋_GB2312"/>
      <w:b/>
      <w:bCs/>
      <w:kern w:val="0"/>
      <w:sz w:val="36"/>
      <w:szCs w:val="36"/>
    </w:rPr>
  </w:style>
  <w:style w:type="paragraph" w:styleId="4">
    <w:name w:val="heading 2"/>
    <w:basedOn w:val="1"/>
    <w:next w:val="1"/>
    <w:link w:val="31"/>
    <w:qFormat/>
    <w:uiPriority w:val="0"/>
    <w:pPr>
      <w:keepNext/>
      <w:keepLines/>
      <w:widowControl/>
      <w:numPr>
        <w:ilvl w:val="1"/>
        <w:numId w:val="1"/>
      </w:numPr>
      <w:shd w:val="clear" w:color="auto" w:fill="FFFFFF"/>
      <w:tabs>
        <w:tab w:val="left" w:pos="420"/>
      </w:tabs>
      <w:kinsoku w:val="0"/>
      <w:overflowPunct w:val="0"/>
      <w:autoSpaceDE w:val="0"/>
      <w:autoSpaceDN w:val="0"/>
      <w:ind w:firstLine="0" w:firstLineChars="0"/>
      <w:jc w:val="left"/>
      <w:textAlignment w:val="center"/>
      <w:outlineLvl w:val="1"/>
    </w:pPr>
    <w:rPr>
      <w:rFonts w:ascii="仿宋_GB2312" w:hAnsi="仿宋_GB2312"/>
      <w:b/>
      <w:bCs/>
      <w:sz w:val="30"/>
      <w:szCs w:val="28"/>
    </w:rPr>
  </w:style>
  <w:style w:type="paragraph" w:styleId="5">
    <w:name w:val="heading 3"/>
    <w:basedOn w:val="1"/>
    <w:next w:val="1"/>
    <w:link w:val="36"/>
    <w:unhideWhenUsed/>
    <w:qFormat/>
    <w:uiPriority w:val="0"/>
    <w:pPr>
      <w:keepNext/>
      <w:keepLines/>
      <w:numPr>
        <w:ilvl w:val="2"/>
        <w:numId w:val="1"/>
      </w:numPr>
      <w:ind w:firstLine="0" w:firstLineChars="0"/>
      <w:outlineLvl w:val="2"/>
    </w:pPr>
    <w:rPr>
      <w:b/>
      <w:sz w:val="30"/>
    </w:rPr>
  </w:style>
  <w:style w:type="paragraph" w:styleId="6">
    <w:name w:val="heading 4"/>
    <w:basedOn w:val="1"/>
    <w:next w:val="1"/>
    <w:unhideWhenUsed/>
    <w:qFormat/>
    <w:uiPriority w:val="0"/>
    <w:pPr>
      <w:keepNext/>
      <w:keepLines/>
      <w:numPr>
        <w:ilvl w:val="3"/>
        <w:numId w:val="1"/>
      </w:numPr>
      <w:spacing w:before="280" w:after="290" w:line="372" w:lineRule="auto"/>
      <w:ind w:firstLine="0" w:firstLineChars="0"/>
      <w:outlineLvl w:val="3"/>
    </w:pPr>
    <w:rPr>
      <w:rFonts w:ascii="Arial" w:hAnsi="Arial"/>
      <w:b/>
      <w:sz w:val="30"/>
    </w:rPr>
  </w:style>
  <w:style w:type="paragraph" w:styleId="7">
    <w:name w:val="heading 5"/>
    <w:basedOn w:val="1"/>
    <w:next w:val="1"/>
    <w:semiHidden/>
    <w:unhideWhenUsed/>
    <w:qFormat/>
    <w:uiPriority w:val="0"/>
    <w:pPr>
      <w:keepNext/>
      <w:keepLines/>
      <w:numPr>
        <w:ilvl w:val="4"/>
        <w:numId w:val="1"/>
      </w:numPr>
      <w:spacing w:before="280" w:after="290" w:line="372" w:lineRule="auto"/>
      <w:ind w:firstLine="0"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ind w:firstLine="0" w:firstLineChars="0"/>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rPr>
  </w:style>
  <w:style w:type="paragraph" w:styleId="10">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5"/>
    <w:unhideWhenUsed/>
    <w:qFormat/>
    <w:uiPriority w:val="99"/>
    <w:pPr>
      <w:spacing w:after="120"/>
    </w:pPr>
  </w:style>
  <w:style w:type="paragraph" w:styleId="12">
    <w:name w:val="Normal Indent"/>
    <w:basedOn w:val="1"/>
    <w:qFormat/>
    <w:uiPriority w:val="0"/>
    <w:pPr>
      <w:ind w:firstLine="200"/>
    </w:pPr>
    <w:rPr>
      <w:kern w:val="0"/>
    </w:rPr>
  </w:style>
  <w:style w:type="paragraph" w:styleId="13">
    <w:name w:val="caption"/>
    <w:basedOn w:val="1"/>
    <w:next w:val="1"/>
    <w:semiHidden/>
    <w:unhideWhenUsed/>
    <w:qFormat/>
    <w:uiPriority w:val="0"/>
    <w:rPr>
      <w:rFonts w:ascii="Arial" w:hAnsi="Arial" w:eastAsia="黑体"/>
      <w:sz w:val="20"/>
    </w:rPr>
  </w:style>
  <w:style w:type="paragraph" w:styleId="14">
    <w:name w:val="annotation text"/>
    <w:basedOn w:val="1"/>
    <w:link w:val="32"/>
    <w:qFormat/>
    <w:uiPriority w:val="0"/>
    <w:pPr>
      <w:jc w:val="left"/>
    </w:pPr>
  </w:style>
  <w:style w:type="paragraph" w:styleId="15">
    <w:name w:val="footer"/>
    <w:basedOn w:val="1"/>
    <w:qFormat/>
    <w:uiPriority w:val="0"/>
    <w:pPr>
      <w:tabs>
        <w:tab w:val="center" w:pos="4153"/>
        <w:tab w:val="right" w:pos="8306"/>
      </w:tabs>
      <w:jc w:val="left"/>
    </w:pPr>
    <w:rPr>
      <w:sz w:val="18"/>
    </w:rPr>
  </w:style>
  <w:style w:type="paragraph" w:styleId="1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Normal (Web)"/>
    <w:basedOn w:val="1"/>
    <w:qFormat/>
    <w:uiPriority w:val="99"/>
    <w:rPr>
      <w:rFonts w:ascii="Times New Roman" w:hAnsi="Times New Roman"/>
      <w:szCs w:val="24"/>
    </w:rPr>
  </w:style>
  <w:style w:type="paragraph" w:styleId="20">
    <w:name w:val="annotation subject"/>
    <w:basedOn w:val="14"/>
    <w:next w:val="14"/>
    <w:link w:val="33"/>
    <w:qFormat/>
    <w:uiPriority w:val="0"/>
    <w:rPr>
      <w:b/>
      <w:bCs/>
    </w:r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uiPriority w:val="0"/>
    <w:rPr>
      <w:sz w:val="21"/>
      <w:szCs w:val="21"/>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paragraph" w:customStyle="1" w:styleId="2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7">
    <w:name w:val="*正文"/>
    <w:basedOn w:val="1"/>
    <w:qFormat/>
    <w:uiPriority w:val="0"/>
    <w:pPr>
      <w:widowControl/>
      <w:ind w:firstLine="200"/>
    </w:pPr>
    <w:rPr>
      <w:rFonts w:ascii="仿宋_GB2312" w:hAnsi="Times New Roman" w:eastAsia="仿宋_GB2312"/>
      <w:spacing w:val="0"/>
      <w:szCs w:val="28"/>
    </w:rPr>
  </w:style>
  <w:style w:type="paragraph" w:customStyle="1" w:styleId="28">
    <w:name w:val="样式  + 首行缩进:  2 字符"/>
    <w:basedOn w:val="1"/>
    <w:qFormat/>
    <w:uiPriority w:val="99"/>
    <w:pPr>
      <w:ind w:firstLine="524"/>
    </w:pPr>
    <w:rPr>
      <w:snapToGrid w:val="0"/>
      <w:spacing w:val="11"/>
      <w:kern w:val="0"/>
      <w:szCs w:val="24"/>
    </w:rPr>
  </w:style>
  <w:style w:type="table" w:customStyle="1" w:styleId="29">
    <w:name w:val="Table Normal"/>
    <w:semiHidden/>
    <w:unhideWhenUsed/>
    <w:qFormat/>
    <w:uiPriority w:val="0"/>
    <w:tblPr>
      <w:tblCellMar>
        <w:top w:w="0" w:type="dxa"/>
        <w:left w:w="0" w:type="dxa"/>
        <w:bottom w:w="0" w:type="dxa"/>
        <w:right w:w="0" w:type="dxa"/>
      </w:tblCellMar>
    </w:tblPr>
  </w:style>
  <w:style w:type="table" w:customStyle="1" w:styleId="30">
    <w:name w:val="Table Normal1"/>
    <w:semiHidden/>
    <w:unhideWhenUsed/>
    <w:qFormat/>
    <w:uiPriority w:val="0"/>
    <w:tblPr>
      <w:tblCellMar>
        <w:top w:w="0" w:type="dxa"/>
        <w:left w:w="0" w:type="dxa"/>
        <w:bottom w:w="0" w:type="dxa"/>
        <w:right w:w="0" w:type="dxa"/>
      </w:tblCellMar>
    </w:tblPr>
  </w:style>
  <w:style w:type="character" w:customStyle="1" w:styleId="31">
    <w:name w:val="标题 2 字符"/>
    <w:basedOn w:val="22"/>
    <w:link w:val="4"/>
    <w:uiPriority w:val="0"/>
    <w:rPr>
      <w:rFonts w:ascii="仿宋_GB2312" w:hAnsi="仿宋_GB2312" w:eastAsia="仿宋" w:cs="Times New Roman"/>
      <w:b/>
      <w:bCs/>
      <w:spacing w:val="10"/>
      <w:kern w:val="2"/>
      <w:sz w:val="30"/>
      <w:szCs w:val="28"/>
      <w:shd w:val="clear" w:color="auto" w:fill="FFFFFF"/>
    </w:rPr>
  </w:style>
  <w:style w:type="character" w:customStyle="1" w:styleId="32">
    <w:name w:val="批注文字 字符"/>
    <w:basedOn w:val="22"/>
    <w:link w:val="14"/>
    <w:qFormat/>
    <w:uiPriority w:val="0"/>
    <w:rPr>
      <w:rFonts w:ascii="宋体" w:hAnsi="宋体" w:eastAsia="仿宋" w:cs="Times New Roman"/>
      <w:spacing w:val="10"/>
      <w:kern w:val="2"/>
      <w:sz w:val="24"/>
      <w:szCs w:val="21"/>
    </w:rPr>
  </w:style>
  <w:style w:type="character" w:customStyle="1" w:styleId="33">
    <w:name w:val="批注主题 字符"/>
    <w:basedOn w:val="32"/>
    <w:link w:val="20"/>
    <w:qFormat/>
    <w:uiPriority w:val="0"/>
    <w:rPr>
      <w:rFonts w:ascii="宋体" w:hAnsi="宋体" w:eastAsia="仿宋" w:cs="Times New Roman"/>
      <w:b/>
      <w:bCs/>
      <w:spacing w:val="10"/>
      <w:kern w:val="2"/>
      <w:sz w:val="24"/>
      <w:szCs w:val="21"/>
    </w:rPr>
  </w:style>
  <w:style w:type="paragraph" w:customStyle="1" w:styleId="34">
    <w:name w:val="Revision"/>
    <w:hidden/>
    <w:unhideWhenUsed/>
    <w:qFormat/>
    <w:uiPriority w:val="99"/>
    <w:rPr>
      <w:rFonts w:ascii="宋体" w:hAnsi="宋体" w:eastAsia="仿宋" w:cs="Times New Roman"/>
      <w:spacing w:val="10"/>
      <w:kern w:val="2"/>
      <w:sz w:val="24"/>
      <w:szCs w:val="21"/>
      <w:lang w:val="en-US" w:eastAsia="zh-CN" w:bidi="ar-SA"/>
    </w:rPr>
  </w:style>
  <w:style w:type="character" w:customStyle="1" w:styleId="35">
    <w:name w:val="正文文本 字符"/>
    <w:basedOn w:val="22"/>
    <w:link w:val="2"/>
    <w:qFormat/>
    <w:uiPriority w:val="99"/>
    <w:rPr>
      <w:rFonts w:ascii="宋体" w:hAnsi="宋体" w:eastAsia="仿宋" w:cs="Times New Roman"/>
      <w:spacing w:val="10"/>
      <w:kern w:val="2"/>
      <w:sz w:val="24"/>
      <w:szCs w:val="21"/>
    </w:rPr>
  </w:style>
  <w:style w:type="character" w:customStyle="1" w:styleId="36">
    <w:name w:val="标题 3 字符"/>
    <w:basedOn w:val="22"/>
    <w:link w:val="5"/>
    <w:qFormat/>
    <w:uiPriority w:val="0"/>
    <w:rPr>
      <w:rFonts w:ascii="宋体" w:hAnsi="宋体" w:eastAsia="仿宋" w:cs="Times New Roman"/>
      <w:b/>
      <w:spacing w:val="10"/>
      <w:kern w:val="2"/>
      <w:sz w:val="3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Microsoft_Visio_2003-2010___1.vsd"/><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DBB99-31A4-4705-A825-F59C803E81BD}">
  <ds:schemaRefs/>
</ds:datastoreItem>
</file>

<file path=docProps/app.xml><?xml version="1.0" encoding="utf-8"?>
<Properties xmlns="http://schemas.openxmlformats.org/officeDocument/2006/extended-properties" xmlns:vt="http://schemas.openxmlformats.org/officeDocument/2006/docPropsVTypes">
  <Template>Normal.dotm</Template>
  <Company>中讯邮电咨询设计院有限公司</Company>
  <Pages>30</Pages>
  <Words>15659</Words>
  <Characters>16145</Characters>
  <Lines>141</Lines>
  <Paragraphs>39</Paragraphs>
  <TotalTime>23</TotalTime>
  <ScaleCrop>false</ScaleCrop>
  <LinksUpToDate>false</LinksUpToDate>
  <CharactersWithSpaces>16420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2024-09-29T07:32:00Z</dcterms:created>
  <dc:creator>TL</dc:creator>
  <cp:lastModifiedBy>小六</cp:lastModifiedBy>
  <dcterms:modified xsi:type="dcterms:W3CDTF">2024-10-23T02:14:43Z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2D73AED951E2444DBAB815ACF747F61F_13</vt:lpwstr>
  </property>
</Properties>
</file>